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E2E94" w14:textId="374DCC4B" w:rsidR="0035745B" w:rsidRPr="000730F7" w:rsidRDefault="0035745B" w:rsidP="002175BD">
      <w:pPr>
        <w:rPr>
          <w:color w:val="FF0000"/>
          <w:sz w:val="28"/>
          <w:szCs w:val="28"/>
        </w:rPr>
      </w:pPr>
      <w:bookmarkStart w:id="0" w:name="_Hlk22670624"/>
      <w:bookmarkEnd w:id="0"/>
    </w:p>
    <w:p w14:paraId="28AE7957" w14:textId="5F944CEE" w:rsidR="000730F7" w:rsidRPr="003D2582" w:rsidRDefault="000730F7" w:rsidP="002175BD">
      <w:pPr>
        <w:pStyle w:val="NoSpacing"/>
        <w:spacing w:after="120" w:line="276" w:lineRule="auto"/>
        <w:jc w:val="center"/>
        <w:rPr>
          <w:rFonts w:ascii="Times New Roman" w:hAnsi="Times New Roman"/>
          <w:b/>
          <w:color w:val="C00000"/>
          <w:sz w:val="32"/>
          <w:szCs w:val="32"/>
          <w:lang w:val="ro-RO"/>
        </w:rPr>
      </w:pPr>
      <w:r w:rsidRPr="003D2582">
        <w:rPr>
          <w:rFonts w:ascii="Times New Roman" w:hAnsi="Times New Roman"/>
          <w:b/>
          <w:color w:val="C00000"/>
          <w:sz w:val="32"/>
          <w:szCs w:val="32"/>
          <w:lang w:val="ro-RO"/>
        </w:rPr>
        <w:t xml:space="preserve">CONFERINȚA NAȚIONALĂ </w:t>
      </w:r>
    </w:p>
    <w:p w14:paraId="4871C0B1" w14:textId="77777777" w:rsidR="000730F7" w:rsidRPr="003D2582" w:rsidRDefault="000730F7" w:rsidP="002175BD">
      <w:pPr>
        <w:pStyle w:val="NoSpacing"/>
        <w:spacing w:after="120" w:line="276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3D2582">
        <w:rPr>
          <w:rFonts w:ascii="Times New Roman" w:hAnsi="Times New Roman"/>
          <w:b/>
          <w:i/>
          <w:color w:val="C00000"/>
          <w:sz w:val="32"/>
          <w:szCs w:val="32"/>
        </w:rPr>
        <w:t>PROBLEMATICI ACTUALE ALE DREPTULUI AFACERILOR</w:t>
      </w:r>
    </w:p>
    <w:p w14:paraId="6E1D36F8" w14:textId="5616F89E" w:rsidR="009463C5" w:rsidRPr="00522270" w:rsidRDefault="000730F7" w:rsidP="003D2582">
      <w:pPr>
        <w:pStyle w:val="NoSpacing"/>
        <w:spacing w:after="36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22270">
        <w:rPr>
          <w:rFonts w:ascii="Times New Roman" w:hAnsi="Times New Roman"/>
          <w:b/>
          <w:sz w:val="28"/>
          <w:szCs w:val="28"/>
          <w:lang w:val="ro-RO"/>
        </w:rPr>
        <w:t>București, 15 - 16 noiembrie 2019</w:t>
      </w:r>
    </w:p>
    <w:p w14:paraId="37922992" w14:textId="62437DE8" w:rsidR="002546FB" w:rsidRPr="00B910BD" w:rsidRDefault="002546FB" w:rsidP="002546FB">
      <w:pPr>
        <w:pStyle w:val="NoSpacing"/>
        <w:spacing w:after="360" w:line="276" w:lineRule="auto"/>
        <w:ind w:left="720" w:firstLine="720"/>
        <w:rPr>
          <w:rFonts w:ascii="Times New Roman" w:hAnsi="Times New Roman"/>
          <w:bCs/>
          <w:sz w:val="24"/>
          <w:szCs w:val="24"/>
          <w:lang w:val="ro-RO"/>
        </w:rPr>
      </w:pPr>
      <w:r w:rsidRPr="00B910BD">
        <w:rPr>
          <w:rFonts w:ascii="Times New Roman" w:hAnsi="Times New Roman"/>
          <w:bCs/>
          <w:sz w:val="24"/>
          <w:szCs w:val="24"/>
          <w:lang w:val="ro-RO"/>
        </w:rPr>
        <w:t xml:space="preserve">     </w:t>
      </w:r>
      <w:r w:rsidR="00B910BD">
        <w:rPr>
          <w:rFonts w:ascii="Times New Roman" w:hAnsi="Times New Roman"/>
          <w:bCs/>
          <w:sz w:val="24"/>
          <w:szCs w:val="24"/>
          <w:lang w:val="ro-RO"/>
        </w:rPr>
        <w:t xml:space="preserve">          </w:t>
      </w:r>
      <w:r w:rsidRPr="00B910BD">
        <w:rPr>
          <w:rFonts w:ascii="Times New Roman" w:hAnsi="Times New Roman"/>
          <w:bCs/>
          <w:sz w:val="24"/>
          <w:szCs w:val="24"/>
          <w:lang w:val="ro-RO"/>
        </w:rPr>
        <w:t xml:space="preserve">Website eveniment: </w:t>
      </w:r>
      <w:hyperlink r:id="rId7" w:history="1">
        <w:r w:rsidRPr="00B910BD">
          <w:rPr>
            <w:rStyle w:val="Hyperlink"/>
            <w:rFonts w:ascii="Times New Roman" w:hAnsi="Times New Roman"/>
            <w:bCs/>
            <w:sz w:val="24"/>
            <w:szCs w:val="24"/>
            <w:lang w:val="ro-RO"/>
          </w:rPr>
          <w:t>http://business.law.rau.ro/</w:t>
        </w:r>
      </w:hyperlink>
    </w:p>
    <w:p w14:paraId="030CAC61" w14:textId="35D8B7FB" w:rsidR="009463C5" w:rsidRPr="009463C5" w:rsidRDefault="009463C5" w:rsidP="00B910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3C5">
        <w:rPr>
          <w:rFonts w:ascii="Times New Roman" w:eastAsia="Times New Roman" w:hAnsi="Times New Roman" w:cs="Times New Roman"/>
          <w:sz w:val="24"/>
          <w:szCs w:val="24"/>
        </w:rPr>
        <w:t xml:space="preserve">Acreditare INPPA: </w:t>
      </w:r>
      <w:r w:rsidR="00B910B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în curs</w:t>
      </w:r>
    </w:p>
    <w:p w14:paraId="73DD6BBD" w14:textId="31789311" w:rsidR="002175BD" w:rsidRPr="00B910BD" w:rsidRDefault="009463C5" w:rsidP="00B910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463C5">
        <w:rPr>
          <w:rFonts w:ascii="Times New Roman" w:eastAsia="Times New Roman" w:hAnsi="Times New Roman" w:cs="Times New Roman"/>
          <w:sz w:val="24"/>
          <w:szCs w:val="24"/>
        </w:rPr>
        <w:t>Acreditare INPPI: 10 puncte de pregătire profesională</w:t>
      </w:r>
    </w:p>
    <w:p w14:paraId="608E0488" w14:textId="132BE701" w:rsidR="002175BD" w:rsidRPr="000A020F" w:rsidRDefault="002175BD" w:rsidP="000A020F">
      <w:p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175BD">
        <w:rPr>
          <w:rFonts w:ascii="Times New Roman" w:eastAsia="Times New Roman" w:hAnsi="Times New Roman"/>
          <w:b/>
          <w:sz w:val="24"/>
          <w:szCs w:val="24"/>
        </w:rPr>
        <w:t>Facultatea de Drept a Universității Româno-Americană, Facultatea de Drept a Universității Nicolae Titulescu și Facultatea de Drept a Universității Babeș-Bolyai</w:t>
      </w:r>
      <w:r w:rsidRPr="002175BD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 organizează, în perioada 15 – 16 noiembrie 2019, </w:t>
      </w:r>
      <w:r w:rsidRPr="002175BD">
        <w:rPr>
          <w:rFonts w:ascii="Times New Roman" w:eastAsia="Times New Roman" w:hAnsi="Times New Roman"/>
          <w:b/>
          <w:sz w:val="24"/>
          <w:szCs w:val="24"/>
        </w:rPr>
        <w:t>Conferința Națională de Dreptul Afacerilor: ”Problematici actuale ale Dreptului Afacerilor”, ediția IV-a, 2019.</w:t>
      </w:r>
    </w:p>
    <w:p w14:paraId="63282826" w14:textId="7950E009" w:rsidR="007503EB" w:rsidRDefault="002175BD" w:rsidP="000A020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2451B">
        <w:rPr>
          <w:rFonts w:ascii="Times New Roman" w:eastAsia="Times New Roman" w:hAnsi="Times New Roman"/>
          <w:sz w:val="24"/>
          <w:szCs w:val="24"/>
        </w:rPr>
        <w:t>Te</w:t>
      </w:r>
      <w:r w:rsidRPr="008C42C5">
        <w:rPr>
          <w:rFonts w:ascii="Times New Roman" w:eastAsia="Times New Roman" w:hAnsi="Times New Roman"/>
          <w:sz w:val="24"/>
          <w:szCs w:val="24"/>
        </w:rPr>
        <w:t>m</w:t>
      </w:r>
      <w:r w:rsidRPr="00C2451B">
        <w:rPr>
          <w:rFonts w:ascii="Times New Roman" w:eastAsia="Times New Roman" w:hAnsi="Times New Roman"/>
          <w:sz w:val="24"/>
          <w:szCs w:val="24"/>
        </w:rPr>
        <w:t xml:space="preserve">a </w:t>
      </w:r>
      <w:r w:rsidRPr="008C42C5">
        <w:rPr>
          <w:rFonts w:ascii="Times New Roman" w:eastAsia="Times New Roman" w:hAnsi="Times New Roman"/>
          <w:sz w:val="24"/>
          <w:szCs w:val="24"/>
        </w:rPr>
        <w:t xml:space="preserve">conferinței: </w:t>
      </w:r>
      <w:r w:rsidRPr="007503EB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7503E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Problematici actuale în dreptul afacerilor</w:t>
      </w:r>
      <w:r w:rsidRPr="007503EB">
        <w:rPr>
          <w:rFonts w:ascii="Times New Roman" w:eastAsia="Times New Roman" w:hAnsi="Times New Roman"/>
          <w:b/>
          <w:bCs/>
          <w:sz w:val="24"/>
          <w:szCs w:val="24"/>
        </w:rPr>
        <w:t xml:space="preserve">” configurează prezentările și discuțiile în jurul unor teme care </w:t>
      </w:r>
      <w:r w:rsidR="007503EB" w:rsidRPr="007503EB">
        <w:rPr>
          <w:rFonts w:ascii="Times New Roman" w:eastAsia="Times New Roman" w:hAnsi="Times New Roman"/>
          <w:b/>
          <w:bCs/>
          <w:sz w:val="24"/>
          <w:szCs w:val="24"/>
        </w:rPr>
        <w:t>au</w:t>
      </w:r>
      <w:r w:rsidRPr="007503EB">
        <w:rPr>
          <w:rFonts w:ascii="Times New Roman" w:eastAsia="Times New Roman" w:hAnsi="Times New Roman"/>
          <w:b/>
          <w:bCs/>
          <w:sz w:val="24"/>
          <w:szCs w:val="24"/>
        </w:rPr>
        <w:t xml:space="preserve"> ca țintă problemele cele mai actuale, interesante și complexe  din materia societăților, contractelor, obligațiilor, procedurii civile, investițiilor străine, contenciosului administrativ și fiscal, achizițiilor publice, garanțiilor, insolvenței, dreptul penal al afacerilor etc.</w:t>
      </w:r>
    </w:p>
    <w:p w14:paraId="7C4208CB" w14:textId="6B565B70" w:rsidR="007503EB" w:rsidRPr="000A020F" w:rsidRDefault="007503EB" w:rsidP="000A020F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2451B">
        <w:rPr>
          <w:rFonts w:ascii="Times New Roman" w:eastAsia="Times New Roman" w:hAnsi="Times New Roman"/>
          <w:bCs/>
          <w:sz w:val="24"/>
          <w:szCs w:val="24"/>
        </w:rPr>
        <w:t xml:space="preserve">Evenimentul reunește </w:t>
      </w:r>
      <w:r w:rsidRPr="007503EB">
        <w:rPr>
          <w:rFonts w:ascii="Times New Roman" w:eastAsia="Times New Roman" w:hAnsi="Times New Roman"/>
          <w:b/>
          <w:sz w:val="24"/>
          <w:szCs w:val="24"/>
        </w:rPr>
        <w:t>2</w:t>
      </w:r>
      <w:r w:rsidR="009463C5">
        <w:rPr>
          <w:rFonts w:ascii="Times New Roman" w:eastAsia="Times New Roman" w:hAnsi="Times New Roman"/>
          <w:b/>
          <w:sz w:val="24"/>
          <w:szCs w:val="24"/>
        </w:rPr>
        <w:t>9</w:t>
      </w:r>
      <w:r w:rsidRPr="007503EB">
        <w:rPr>
          <w:rFonts w:ascii="Times New Roman" w:eastAsia="Times New Roman" w:hAnsi="Times New Roman"/>
          <w:b/>
          <w:sz w:val="24"/>
          <w:szCs w:val="24"/>
        </w:rPr>
        <w:t xml:space="preserve"> de speakeri</w:t>
      </w:r>
      <w:r w:rsidR="00B910BD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 w:rsidRPr="007503EB">
        <w:rPr>
          <w:rFonts w:ascii="Times New Roman" w:eastAsia="Times New Roman" w:hAnsi="Times New Roman"/>
          <w:b/>
          <w:sz w:val="24"/>
          <w:szCs w:val="24"/>
        </w:rPr>
        <w:t>specialiști reputați ai dreptului</w:t>
      </w:r>
      <w:r w:rsidR="000A020F">
        <w:rPr>
          <w:rFonts w:ascii="Times New Roman" w:eastAsia="Times New Roman" w:hAnsi="Times New Roman"/>
          <w:b/>
          <w:sz w:val="24"/>
          <w:szCs w:val="24"/>
        </w:rPr>
        <w:t xml:space="preserve"> – profesori universitari, magistrați, avocați și practicieni în insolvență</w:t>
      </w:r>
      <w:r w:rsidRPr="007503EB">
        <w:rPr>
          <w:rFonts w:ascii="Times New Roman" w:eastAsia="Times New Roman" w:hAnsi="Times New Roman"/>
          <w:b/>
          <w:sz w:val="24"/>
          <w:szCs w:val="24"/>
        </w:rPr>
        <w:t>, care, pe parcursul a două zile, vor avea intervenții pe teme de maxim interes pentru practica dreptului afacerilor</w:t>
      </w:r>
      <w:r w:rsidR="000A020F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4E6E4CF" w14:textId="4150741C" w:rsidR="00CE542D" w:rsidRDefault="007503EB" w:rsidP="00CE542D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8C42C5">
        <w:rPr>
          <w:rFonts w:ascii="Times New Roman" w:eastAsia="Times New Roman" w:hAnsi="Times New Roman"/>
          <w:sz w:val="24"/>
          <w:szCs w:val="24"/>
        </w:rPr>
        <w:t>Conferința se adresează tuturor profesioniștilor dreptului – magistrați, avocați, notari, consilieri juridici, practicieni în insolvență, executori judecătorești, dar și oamenilor de afaceri și economiștilor.</w:t>
      </w:r>
    </w:p>
    <w:p w14:paraId="6D76EC87" w14:textId="5A2A067A" w:rsidR="00CE542D" w:rsidRPr="00CE542D" w:rsidRDefault="00CE542D" w:rsidP="007503E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 taxa de participare sunt incluse: participarea la cele două zile ale conferinței, mapa, certificat de participare, cafea</w:t>
      </w:r>
      <w:r w:rsidR="009463C5">
        <w:rPr>
          <w:rFonts w:ascii="Times New Roman" w:eastAsia="Times New Roman" w:hAnsi="Times New Roman"/>
          <w:sz w:val="24"/>
          <w:szCs w:val="24"/>
        </w:rPr>
        <w:t xml:space="preserve"> și 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CE542D">
        <w:rPr>
          <w:rFonts w:ascii="Times New Roman" w:eastAsia="Times New Roman" w:hAnsi="Times New Roman"/>
          <w:sz w:val="24"/>
          <w:szCs w:val="24"/>
        </w:rPr>
        <w:t>abonament la portalul www.universuljuridic.ro pentru 6 luni</w:t>
      </w:r>
      <w:r>
        <w:rPr>
          <w:rFonts w:ascii="Times New Roman" w:eastAsia="Times New Roman" w:hAnsi="Times New Roman"/>
          <w:sz w:val="24"/>
          <w:szCs w:val="24"/>
        </w:rPr>
        <w:t xml:space="preserve"> – în valoare</w:t>
      </w:r>
      <w:r w:rsidRPr="00CE542D">
        <w:rPr>
          <w:rFonts w:ascii="Times New Roman" w:eastAsia="Times New Roman" w:hAnsi="Times New Roman"/>
          <w:sz w:val="24"/>
          <w:szCs w:val="24"/>
        </w:rPr>
        <w:t xml:space="preserve"> de 240 lei+TVA</w:t>
      </w:r>
      <w:r>
        <w:rPr>
          <w:rFonts w:ascii="Times New Roman" w:eastAsia="Times New Roman" w:hAnsi="Times New Roman"/>
          <w:sz w:val="24"/>
          <w:szCs w:val="24"/>
        </w:rPr>
        <w:t>, precum și achiziționarea la prețuri promoționale a noutăților editoriale ce se vor lansa în cadrul evenimentului.</w:t>
      </w:r>
    </w:p>
    <w:p w14:paraId="17B077D0" w14:textId="77777777" w:rsidR="002175BD" w:rsidRDefault="002175BD" w:rsidP="002175BD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1B2DEC6" w14:textId="77777777" w:rsidR="002546FB" w:rsidRPr="002546FB" w:rsidRDefault="002546FB" w:rsidP="002546F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9137D" w14:textId="77777777" w:rsidR="002546FB" w:rsidRPr="002546FB" w:rsidRDefault="002546FB" w:rsidP="0025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556FB" w14:textId="4AE311F8" w:rsidR="002546FB" w:rsidRPr="002546FB" w:rsidRDefault="002546FB" w:rsidP="00522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46F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PROGRAMUL CONFERINȚEI</w:t>
      </w:r>
    </w:p>
    <w:p w14:paraId="21A67CD4" w14:textId="77777777" w:rsidR="002546FB" w:rsidRPr="002546FB" w:rsidRDefault="002546FB" w:rsidP="002546FB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</w:rPr>
      </w:pPr>
      <w:r w:rsidRPr="002546FB">
        <w:rPr>
          <w:rFonts w:ascii="Times New Roman" w:eastAsia="Times New Roman" w:hAnsi="Times New Roman" w:cs="Times New Roman"/>
          <w:b/>
          <w:bCs/>
        </w:rPr>
        <w:t>VINERI - 15 NOIEMBRIE 2019</w:t>
      </w:r>
    </w:p>
    <w:p w14:paraId="0B0F99D9" w14:textId="77777777" w:rsidR="002546FB" w:rsidRPr="002546FB" w:rsidRDefault="002546FB" w:rsidP="0025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917" w:type="pct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9357"/>
      </w:tblGrid>
      <w:tr w:rsidR="002546FB" w:rsidRPr="002546FB" w14:paraId="74CC8BFF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DE296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8:30 – 9:00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A7CA5" w14:textId="77777777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Înscrieri - cafea de bun venit</w:t>
            </w:r>
          </w:p>
        </w:tc>
      </w:tr>
      <w:tr w:rsidR="002546FB" w:rsidRPr="002546FB" w14:paraId="262BA4B8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AF78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9:00 – 9:20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F75ED" w14:textId="77777777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Deschiderea Conferinței – Rectorul Universității Româno-Americane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prof.univ.dr. Ovidiu Folcuț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Rectorul Universității Nicolae Titulescu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prof.univ.dr. Gabriel Boroi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Prodecanul Facultății de Drept a Universității Babeș-Bolyai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Lect.univ.dr. Sergiu Golub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Decanul Facultății de Drept a Universității Româno-Americane -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conf.univ.dr. Mihaela Prună</w:t>
            </w:r>
          </w:p>
        </w:tc>
      </w:tr>
      <w:tr w:rsidR="002546FB" w:rsidRPr="002546FB" w14:paraId="5BD7211C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F358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9:20 - 10:45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7946" w14:textId="650908FB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Panelul I – Moderator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conf.univ.dr. Luminița Tuleașcă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Vorbitori: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Prof.univ.dr. Stanciu D. Cărpenaru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Facultatea de Drept, Universitatea Nicolae Titulescu – ”Necesitate, utilitatea și stadiul elaborării unui nou Cod comercial român”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Prof.univ.dr. Smaranda Angheni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Facultatea de Drept, Universitatea Titu Maiorescu – ”Faptele ( actele ) de comerț la confluența dintre doua coduri-codul comercial și codul civil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Av.prof.univ.dr. Gheorghe Piperea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Facultatea de Drept, Universitatea din București – ”Raison d`etre pentru companiile viitorului apropiat”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Judecător dr. Eugenia Voicheci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Înalta Curte de Casație și Justiție, Președinte</w:t>
            </w:r>
            <w:r w:rsidR="00207F32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Secți</w:t>
            </w:r>
            <w:r w:rsidR="00207F32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II-a Civilă - "Toate-s vechi și nouă toate: profesioniștii-comercianți” </w:t>
            </w:r>
          </w:p>
        </w:tc>
      </w:tr>
      <w:tr w:rsidR="002546FB" w:rsidRPr="002546FB" w14:paraId="0594A475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E0F3B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10:45 – 11:00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3609" w14:textId="77777777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Pauză de cafea</w:t>
            </w:r>
          </w:p>
        </w:tc>
      </w:tr>
      <w:tr w:rsidR="002546FB" w:rsidRPr="002546FB" w14:paraId="31DC784D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5BDEC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12:45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3E105" w14:textId="171D364D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Panelul II – Moderator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lect.univ.dr. Sergiu Golub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Vorbitori: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Av.dr.Gheorghe Buta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partener Mușat și Asociații, cercetător științific gradul I – Institutul de Cercetări Juridice al Academiei Române, Director Revista Română de Jurisprudență – ”Contribuția ÎCCJ la confuzia privind competența materială și funcțională a instanțelor în materia litigiilor cu profesioniști”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Av.prof.univ.dr. Lucian Săuleanu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Facultatea de Drept, Universitatea din Craiova – ”Protecția creditorilor din perspectiva Legii nr. 31/1990”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Prof.univ.dr. Radu Bufan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Facultatea de Drept, Universitatea de Vest din Timișoara - </w:t>
            </w:r>
            <w:r w:rsidRPr="00254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temă rezervată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Judecător lect.univ.dr. Elisabeta Roșu</w:t>
            </w:r>
            <w:r w:rsidR="0020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Înalta Curte de Casație și Justiție</w:t>
            </w:r>
            <w:r w:rsidR="00207F32">
              <w:rPr>
                <w:rFonts w:ascii="Times New Roman" w:eastAsia="Times New Roman" w:hAnsi="Times New Roman" w:cs="Times New Roman"/>
                <w:sz w:val="24"/>
                <w:szCs w:val="24"/>
              </w:rPr>
              <w:t>, Secția a II -</w:t>
            </w:r>
            <w:r w:rsidR="00B91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7F32">
              <w:rPr>
                <w:rFonts w:ascii="Times New Roman" w:eastAsia="Times New Roman" w:hAnsi="Times New Roman" w:cs="Times New Roman"/>
                <w:sz w:val="24"/>
                <w:szCs w:val="24"/>
              </w:rPr>
              <w:t>a Civilă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54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în curs de confirmare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46FB" w:rsidRPr="002546FB" w14:paraId="087ED814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FE2A2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12:45 – 13:00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657B1" w14:textId="77777777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Lansări editoriale: lansare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Revista Română de Drept Comercial</w:t>
            </w:r>
          </w:p>
        </w:tc>
      </w:tr>
      <w:tr w:rsidR="002546FB" w:rsidRPr="002546FB" w14:paraId="5DBEE08E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2248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3C6D0" w14:textId="77777777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Pauză de masă</w:t>
            </w:r>
          </w:p>
        </w:tc>
      </w:tr>
      <w:tr w:rsidR="002546FB" w:rsidRPr="002546FB" w14:paraId="165974C0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9893" w14:textId="2926A0F1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15:4</w:t>
            </w:r>
            <w:r w:rsidR="005222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F3C4F" w14:textId="09641297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Panelul III – Moderator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prof.univ.dr. Vasile Nemeș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Vorbitori: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Av.dr. Simona Miloș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Președinte Institutul Național de Pregătire a Practicienilor în Insolvență,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Av.dr. Andrea Deli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”Despre ipoteca mobiliară asupra veniturilor viitoare din contractele în derulare sau cât de 'corespunzatoare' poate fi 'protecția' acordată creditorului garantat în insolvență”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Av.lect.univ.dr. Alina Oprea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Facultatea de Drept, Universitatea Babeș - Bolyai – "Deschiderea procedurii secundare de insolvență"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Judecător dr. Delia Narcisa T</w:t>
            </w:r>
            <w:r w:rsidR="004E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eohari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Curtea de Apel București, Secția a IV - a Civilă, formator Institutul Național al Magistraturii – </w:t>
            </w:r>
            <w:r w:rsidRPr="00254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temă rezervată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Av.lect.univ.dr. Ion Dragne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Facultatea de Drept, Universitatea Nicolae Titulescu - </w:t>
            </w:r>
            <w:r w:rsidRPr="00254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temă rezervată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Av.conf.univ.dr. Lavinia Tec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Facultatea de Drept, Universitatea de Vest din Timișoara - ”Probleme teoretice și practice privind obligația de loialitate a administratorului” </w:t>
            </w:r>
          </w:p>
        </w:tc>
      </w:tr>
      <w:tr w:rsidR="002546FB" w:rsidRPr="002546FB" w14:paraId="75F5E535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09942" w14:textId="6F883C99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15:4</w:t>
            </w:r>
            <w:r w:rsidR="005222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43299" w14:textId="77777777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Pauză de cafea</w:t>
            </w:r>
          </w:p>
        </w:tc>
      </w:tr>
      <w:tr w:rsidR="002546FB" w:rsidRPr="002546FB" w14:paraId="23198B02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0E73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17:45</w:t>
            </w:r>
          </w:p>
        </w:tc>
        <w:tc>
          <w:tcPr>
            <w:tcW w:w="4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36B6" w14:textId="4338F8B9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Panelul IV – Moderator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prof.univ.dr. Radu Catană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Vorbitori: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Lect.univ.dr. Sergiu Golub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Facultatea de Drept, Universitatea Babeș - Bolyai – ”Comerciantul persoană fizică - de la hegemonul comerțului la 'matrioșca juridic' sau despre mai mult de un secol de 'evoluție involutivă'!”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Nicoleta Țăndăreanu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formator Institutul Național al Magistraturii - ”Natura juridică a executarii silite reglementate de art. 143 alin 1 din Legea 85/2014 si competenta de soluționare a unei eventuale contestații la executare”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Judecător drd. Nicoleta Mirela Năstăsie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Tribunalul București, Secția a VII-a Civilă – „Opţiunea între procedura secundară de insolvenţă şi angajamentul unilateral în insolvenţa transfrontalieră"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Av.conf.univ.dr. Gabriel Ispas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07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Decanul 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Facult</w:t>
            </w:r>
            <w:r w:rsidR="00207F32">
              <w:rPr>
                <w:rFonts w:ascii="Times New Roman" w:eastAsia="Times New Roman" w:hAnsi="Times New Roman" w:cs="Times New Roman"/>
                <w:sz w:val="24"/>
                <w:szCs w:val="24"/>
              </w:rPr>
              <w:t>ății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Drept, Universitatea Titu Maiorescu </w:t>
            </w:r>
            <w:r w:rsidR="00243D9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3D93">
              <w:rPr>
                <w:rFonts w:ascii="Times New Roman" w:eastAsia="Times New Roman" w:hAnsi="Times New Roman" w:cs="Times New Roman"/>
                <w:sz w:val="24"/>
                <w:szCs w:val="24"/>
              </w:rPr>
              <w:t>”Circulația bumurilor în contextul Brexit”</w:t>
            </w:r>
            <w:bookmarkStart w:id="1" w:name="_GoBack"/>
            <w:bookmarkEnd w:id="1"/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Av.conf.univ.dr. Ciprian Păun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FSEGA, Universitatea Babeș - Bolyai – ”Curatorul societar și nevoia de completare a articolul 58 din Codul de Procedură Civilă</w:t>
            </w:r>
          </w:p>
        </w:tc>
      </w:tr>
    </w:tbl>
    <w:p w14:paraId="25F6899F" w14:textId="77777777" w:rsidR="002546FB" w:rsidRPr="002546FB" w:rsidRDefault="002546FB" w:rsidP="002546F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A4D95" w14:textId="77777777" w:rsidR="002546FB" w:rsidRPr="002546FB" w:rsidRDefault="002546FB" w:rsidP="002546FB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</w:rPr>
      </w:pPr>
      <w:r w:rsidRPr="002546FB">
        <w:rPr>
          <w:rFonts w:ascii="Times New Roman" w:eastAsia="Times New Roman" w:hAnsi="Times New Roman" w:cs="Times New Roman"/>
          <w:b/>
          <w:bCs/>
        </w:rPr>
        <w:t>SÂMBĂTĂ - 16 NOIEMBRIE 2019</w:t>
      </w:r>
    </w:p>
    <w:p w14:paraId="6C4F4F80" w14:textId="77777777" w:rsidR="002546FB" w:rsidRPr="002546FB" w:rsidRDefault="002546FB" w:rsidP="0025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917" w:type="pct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9357"/>
      </w:tblGrid>
      <w:tr w:rsidR="002546FB" w:rsidRPr="002546FB" w14:paraId="00DB1C04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9E3CD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10:45</w:t>
            </w:r>
          </w:p>
        </w:tc>
        <w:tc>
          <w:tcPr>
            <w:tcW w:w="4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A1F08" w14:textId="77777777" w:rsid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Panelul I – Moderator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lect.univ.dr. Manole Popa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Vorbitori: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Av.conf.univ.dr. Vasile Nemeș, asist.dr. Gabriela Fierbinteanu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Facultatea de Drept, Universitatea Nicolae Titulescu – ”Transformarea transfrontalieră în reglementarea societăților comerciale”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Av.lect.univ.dr. Raul Felix Hodoș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UMFST “George Emil Palade” Tg. Mureș - “Oportunitate și legalitate în deciziile administratorului judiciar”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Dragoș Călin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director Direcția Juridică SIF Transilvania – ”Criterii de determinare a 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dreptului de retragere din societate și dreptului rezidual ca efect al excluderii”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Conf.univ.dr. Adrian Țuțuianu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Facultatea de Drept, Universitatea Valahia – </w:t>
            </w:r>
            <w:r w:rsidRPr="00254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temă rezervată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5950484" w14:textId="753536CB" w:rsidR="00522270" w:rsidRPr="002546FB" w:rsidRDefault="00522270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Av.conf.univ.dr. Mihai Olariu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Facultatea de Drept, Universitatea Româno-Americană - </w:t>
            </w:r>
            <w:r w:rsidRPr="00254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temă rezervată</w:t>
            </w:r>
          </w:p>
        </w:tc>
      </w:tr>
      <w:tr w:rsidR="002546FB" w:rsidRPr="002546FB" w14:paraId="0F8A4CF0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73AE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10:45 – 11:00</w:t>
            </w:r>
          </w:p>
        </w:tc>
        <w:tc>
          <w:tcPr>
            <w:tcW w:w="4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DD30" w14:textId="77777777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Pauză de cafea</w:t>
            </w:r>
          </w:p>
        </w:tc>
      </w:tr>
      <w:tr w:rsidR="002546FB" w:rsidRPr="002546FB" w14:paraId="3D06A51E" w14:textId="77777777" w:rsidTr="002546FB">
        <w:trPr>
          <w:tblCellSpacing w:w="15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64623" w14:textId="77777777" w:rsidR="002546FB" w:rsidRPr="002546FB" w:rsidRDefault="002546FB" w:rsidP="0025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12:45</w:t>
            </w:r>
          </w:p>
        </w:tc>
        <w:tc>
          <w:tcPr>
            <w:tcW w:w="4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D9A56" w14:textId="04CE4782" w:rsidR="002546FB" w:rsidRPr="002546FB" w:rsidRDefault="002546FB" w:rsidP="0025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Panelul II – Moderator –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conf.univ.dr. Mihai Olariu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Vorbitori: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Judecător dr. Gabriela </w:t>
            </w:r>
            <w:r w:rsidR="004E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Elena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Bogasiu</w:t>
            </w:r>
            <w:r w:rsidR="004E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Vicepreședinte</w:t>
            </w:r>
            <w:r w:rsidR="004E48D6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Înaltei Curți de Casație și Justiție </w:t>
            </w:r>
            <w:r w:rsidR="004E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în materie civilă - 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4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temă rezervată</w:t>
            </w:r>
            <w:r w:rsidR="004E4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Procuror dr. Laurețiu Sorescu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Parchetul de pe lângă Curtea de Apel București, </w:t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procuror Cristina Voicu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Direcția Națională Anticorupție Centrală - București – ”Infracțiuni ce aduc atingere intereselor financiare ale Uniunii Europene”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Av.lect.univ.dr. Manole Popa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>, Facultatea de Drept, Universitatea din București – ”Scurte considerații referitoare la societățile comerciale din perspectiva legislației privind combaterea spălării banilor şi finanţării terorismului”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Av.conf.univ.dr. Luminița Tuleașcă</w:t>
            </w:r>
            <w:r w:rsidRPr="002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Facultatea de Drept, Universitatea Româno-Americană – ”Executarea contractului de leasing” </w:t>
            </w:r>
          </w:p>
        </w:tc>
      </w:tr>
    </w:tbl>
    <w:p w14:paraId="42F93B80" w14:textId="0B4C7A2F" w:rsidR="002546FB" w:rsidRPr="002546FB" w:rsidRDefault="002546FB" w:rsidP="002546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46FB">
        <w:rPr>
          <w:rFonts w:ascii="Times New Roman" w:eastAsia="Times New Roman" w:hAnsi="Times New Roman" w:cs="Times New Roman"/>
          <w:b/>
          <w:bCs/>
          <w:sz w:val="36"/>
          <w:szCs w:val="36"/>
        </w:rPr>
        <w:t>Înscrieri</w:t>
      </w:r>
    </w:p>
    <w:p w14:paraId="22F28B46" w14:textId="3A9CE306" w:rsidR="002175BD" w:rsidRDefault="002546FB" w:rsidP="002546F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" w:name="_Hlk22670406"/>
      <w:r w:rsidRPr="002546FB">
        <w:rPr>
          <w:rFonts w:ascii="Times New Roman" w:eastAsia="Times New Roman" w:hAnsi="Times New Roman" w:cs="Times New Roman"/>
          <w:b/>
          <w:bCs/>
          <w:sz w:val="24"/>
          <w:szCs w:val="24"/>
        </w:rPr>
        <w:t>Perioada de înscrieri: 22 octombrie - 13 noiembrie 2019</w:t>
      </w:r>
      <w:bookmarkEnd w:id="2"/>
    </w:p>
    <w:p w14:paraId="4C7AECCA" w14:textId="54CFA99E" w:rsidR="002175BD" w:rsidRPr="00C2451B" w:rsidRDefault="002175BD" w:rsidP="007503EB">
      <w:pPr>
        <w:pStyle w:val="NormalWeb"/>
        <w:spacing w:line="276" w:lineRule="auto"/>
        <w:jc w:val="both"/>
      </w:pPr>
      <w:r w:rsidRPr="002546FB">
        <w:rPr>
          <w:rStyle w:val="Strong"/>
          <w:bCs w:val="0"/>
        </w:rPr>
        <w:t>Înscrierea</w:t>
      </w:r>
      <w:r w:rsidR="007310E6" w:rsidRPr="002546FB">
        <w:rPr>
          <w:rStyle w:val="Strong"/>
          <w:bCs w:val="0"/>
        </w:rPr>
        <w:t xml:space="preserve"> </w:t>
      </w:r>
      <w:r w:rsidRPr="002546FB">
        <w:rPr>
          <w:rStyle w:val="Strong"/>
          <w:bCs w:val="0"/>
        </w:rPr>
        <w:t xml:space="preserve">se face </w:t>
      </w:r>
      <w:r w:rsidR="002546FB" w:rsidRPr="002546FB">
        <w:rPr>
          <w:rStyle w:val="Strong"/>
          <w:bCs w:val="0"/>
        </w:rPr>
        <w:t xml:space="preserve">pe website-ul evenimentului:  </w:t>
      </w:r>
      <w:hyperlink r:id="rId8" w:history="1">
        <w:r w:rsidR="002546FB" w:rsidRPr="002546FB">
          <w:rPr>
            <w:rStyle w:val="Hyperlink"/>
            <w:color w:val="auto"/>
          </w:rPr>
          <w:t>http://business.law.rau.ro/</w:t>
        </w:r>
      </w:hyperlink>
      <w:r w:rsidR="002546FB" w:rsidRPr="002546FB">
        <w:rPr>
          <w:rStyle w:val="Strong"/>
          <w:bCs w:val="0"/>
        </w:rPr>
        <w:t xml:space="preserve">, </w:t>
      </w:r>
      <w:r w:rsidR="00355788" w:rsidRPr="002546FB">
        <w:rPr>
          <w:b/>
          <w:bCs/>
        </w:rPr>
        <w:t>la adresa de e-mail: </w:t>
      </w:r>
      <w:hyperlink r:id="rId9" w:history="1">
        <w:r w:rsidR="007F2D63" w:rsidRPr="002546FB">
          <w:rPr>
            <w:rStyle w:val="Hyperlink"/>
            <w:color w:val="auto"/>
          </w:rPr>
          <w:t>dreptul.afacerilor@rau.ro</w:t>
        </w:r>
      </w:hyperlink>
      <w:r w:rsidR="002546FB" w:rsidRPr="002546FB">
        <w:rPr>
          <w:rStyle w:val="Hyperlink"/>
          <w:color w:val="auto"/>
        </w:rPr>
        <w:t>,</w:t>
      </w:r>
      <w:r w:rsidR="007F2D63" w:rsidRPr="002546FB">
        <w:rPr>
          <w:rStyle w:val="Strong"/>
        </w:rPr>
        <w:t xml:space="preserve"> </w:t>
      </w:r>
      <w:r w:rsidR="002546FB">
        <w:rPr>
          <w:bCs/>
          <w:color w:val="FF0000"/>
        </w:rPr>
        <w:t xml:space="preserve">sau </w:t>
      </w:r>
      <w:r w:rsidRPr="007503EB">
        <w:rPr>
          <w:bCs/>
        </w:rPr>
        <w:t>prin intermediul formularului electronic de înscriere</w:t>
      </w:r>
      <w:r w:rsidRPr="00C2451B">
        <w:t>, aflat pe website-ul partener</w:t>
      </w:r>
      <w:r w:rsidR="00834E5D">
        <w:t xml:space="preserve">ilor noștri </w:t>
      </w:r>
      <w:r w:rsidRPr="00C2451B">
        <w:t>media:</w:t>
      </w:r>
      <w:r w:rsidR="00470A26">
        <w:t xml:space="preserve"> JURIDICE.</w:t>
      </w:r>
      <w:r w:rsidR="00470A26" w:rsidRPr="00470A26">
        <w:t>ro</w:t>
      </w:r>
      <w:r w:rsidR="002546FB">
        <w:t xml:space="preserve"> (</w:t>
      </w:r>
      <w:r w:rsidRPr="00470A26">
        <w:t xml:space="preserve"> </w:t>
      </w:r>
      <w:r w:rsidR="002546FB" w:rsidRPr="007310E6">
        <w:rPr>
          <w:highlight w:val="yellow"/>
        </w:rPr>
        <w:t>(click aici)</w:t>
      </w:r>
      <w:r w:rsidR="002546FB" w:rsidRPr="00C2451B">
        <w:t xml:space="preserve"> </w:t>
      </w:r>
      <w:r w:rsidR="00834E5D" w:rsidRPr="00470A26">
        <w:t xml:space="preserve">și </w:t>
      </w:r>
      <w:r w:rsidR="00470A26" w:rsidRPr="00470A26">
        <w:t>U</w:t>
      </w:r>
      <w:r w:rsidR="00834E5D" w:rsidRPr="00470A26">
        <w:t>niversul</w:t>
      </w:r>
      <w:r w:rsidR="00470A26" w:rsidRPr="00470A26">
        <w:t xml:space="preserve"> Juridic</w:t>
      </w:r>
      <w:r w:rsidR="00834E5D" w:rsidRPr="00470A26">
        <w:t xml:space="preserve"> </w:t>
      </w:r>
      <w:r w:rsidRPr="007310E6">
        <w:rPr>
          <w:highlight w:val="yellow"/>
        </w:rPr>
        <w:t>(click aici)</w:t>
      </w:r>
      <w:r w:rsidRPr="00C2451B">
        <w:t xml:space="preserve"> cu expedierea acestuia din urmă la adresa de e-</w:t>
      </w:r>
      <w:r w:rsidRPr="007F2D63">
        <w:t>mail: </w:t>
      </w:r>
      <w:hyperlink r:id="rId10" w:history="1">
        <w:r w:rsidR="002546FB" w:rsidRPr="00C2131D">
          <w:rPr>
            <w:rStyle w:val="Hyperlink"/>
          </w:rPr>
          <w:t>dreptul.afacerilor@rau.ro</w:t>
        </w:r>
      </w:hyperlink>
      <w:r w:rsidR="002546FB">
        <w:rPr>
          <w:rStyle w:val="Strong"/>
          <w:b w:val="0"/>
          <w:bCs w:val="0"/>
        </w:rPr>
        <w:t xml:space="preserve"> </w:t>
      </w:r>
    </w:p>
    <w:p w14:paraId="436350FF" w14:textId="6457A4D9" w:rsidR="002175BD" w:rsidRPr="00C2451B" w:rsidRDefault="002546FB" w:rsidP="002175BD">
      <w:pPr>
        <w:tabs>
          <w:tab w:val="left" w:pos="2410"/>
        </w:tabs>
        <w:spacing w:after="0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M</w:t>
      </w:r>
      <w:r w:rsidR="002175BD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asa de prânz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 se poate servi, </w:t>
      </w:r>
      <w:r w:rsidR="002175BD" w:rsidRPr="00C2451B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c</w:t>
      </w:r>
      <w:r w:rsidR="002175BD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ontra</w:t>
      </w:r>
      <w:r w:rsidR="007310E6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2175BD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cost</w:t>
      </w:r>
      <w:r w:rsidR="007F2D63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,</w:t>
      </w:r>
      <w:r w:rsidR="002175BD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2175BD" w:rsidRPr="00C2451B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la Cantina Restaurant din Campusul Universității Româno-Americană</w:t>
      </w:r>
      <w:r w:rsidR="00A03FF3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</w:t>
      </w:r>
    </w:p>
    <w:p w14:paraId="54272352" w14:textId="77777777" w:rsidR="002175BD" w:rsidRPr="00C2451B" w:rsidRDefault="002175BD" w:rsidP="002175B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700D682" w14:textId="164E2C62" w:rsidR="002175BD" w:rsidRDefault="002175BD" w:rsidP="002175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546FB">
        <w:rPr>
          <w:rFonts w:ascii="Times New Roman" w:eastAsia="Times New Roman" w:hAnsi="Times New Roman"/>
          <w:b/>
          <w:bCs/>
          <w:sz w:val="24"/>
          <w:szCs w:val="24"/>
        </w:rPr>
        <w:t>Taxa de participare pentru cele două zile de conferință este de 250 lei.</w:t>
      </w:r>
      <w:r w:rsidRPr="00C245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2546FB">
        <w:rPr>
          <w:rFonts w:ascii="Times New Roman" w:eastAsia="Times New Roman" w:hAnsi="Times New Roman"/>
          <w:b/>
          <w:bCs/>
          <w:sz w:val="24"/>
          <w:szCs w:val="24"/>
        </w:rPr>
        <w:t xml:space="preserve">Reduceri ale taxei de participare se vor acorda astfel: </w:t>
      </w:r>
      <w:r w:rsidR="003956BA">
        <w:rPr>
          <w:rFonts w:ascii="Times New Roman" w:eastAsia="Times New Roman" w:hAnsi="Times New Roman"/>
          <w:sz w:val="24"/>
          <w:szCs w:val="24"/>
        </w:rPr>
        <w:t>15</w:t>
      </w:r>
      <w:r w:rsidRPr="00C2451B">
        <w:rPr>
          <w:rFonts w:ascii="Times New Roman" w:eastAsia="Times New Roman" w:hAnsi="Times New Roman"/>
          <w:sz w:val="24"/>
          <w:szCs w:val="24"/>
        </w:rPr>
        <w:t xml:space="preserve">% pentru avocații </w:t>
      </w:r>
      <w:r w:rsidR="003956BA">
        <w:rPr>
          <w:rFonts w:ascii="Times New Roman" w:eastAsia="Times New Roman" w:hAnsi="Times New Roman"/>
          <w:sz w:val="24"/>
          <w:szCs w:val="24"/>
        </w:rPr>
        <w:t>Baroului Bucuresti</w:t>
      </w:r>
      <w:r w:rsidRPr="00C2451B">
        <w:rPr>
          <w:rFonts w:ascii="Times New Roman" w:eastAsia="Times New Roman" w:hAnsi="Times New Roman"/>
          <w:sz w:val="24"/>
          <w:szCs w:val="24"/>
        </w:rPr>
        <w:t xml:space="preserve">; </w:t>
      </w:r>
      <w:r w:rsidR="007310E6">
        <w:rPr>
          <w:rFonts w:ascii="Times New Roman" w:eastAsia="Times New Roman" w:hAnsi="Times New Roman"/>
          <w:sz w:val="24"/>
          <w:szCs w:val="24"/>
        </w:rPr>
        <w:t xml:space="preserve">15% </w:t>
      </w:r>
      <w:r w:rsidRPr="00C2451B">
        <w:rPr>
          <w:rFonts w:ascii="Times New Roman" w:eastAsia="Times New Roman" w:hAnsi="Times New Roman"/>
          <w:sz w:val="24"/>
          <w:szCs w:val="24"/>
        </w:rPr>
        <w:t>pentru doi sau mai mulți participanți din cadrul aceleași forme de exercitare a profesiei de avocat, practician în insolvență, notar, executor judecătoresc etc</w:t>
      </w:r>
      <w:r w:rsidR="007310E6">
        <w:rPr>
          <w:rFonts w:ascii="Times New Roman" w:eastAsia="Times New Roman" w:hAnsi="Times New Roman"/>
          <w:sz w:val="24"/>
          <w:szCs w:val="24"/>
        </w:rPr>
        <w:t xml:space="preserve">. </w:t>
      </w:r>
      <w:r w:rsidR="003956BA">
        <w:rPr>
          <w:rFonts w:ascii="Times New Roman" w:eastAsia="Times New Roman" w:hAnsi="Times New Roman"/>
          <w:sz w:val="24"/>
          <w:szCs w:val="24"/>
        </w:rPr>
        <w:t xml:space="preserve">Reducerile acordate nu se cumuleaza. </w:t>
      </w:r>
      <w:r w:rsidRPr="00C2451B">
        <w:rPr>
          <w:rFonts w:ascii="Times New Roman" w:eastAsia="Times New Roman" w:hAnsi="Times New Roman"/>
          <w:sz w:val="24"/>
          <w:szCs w:val="24"/>
        </w:rPr>
        <w:t>Studenții beneficiaz</w:t>
      </w:r>
      <w:r w:rsidRPr="00C2451B">
        <w:rPr>
          <w:rFonts w:ascii="Times New Roman" w:eastAsia="Times New Roman" w:hAnsi="Times New Roman"/>
          <w:sz w:val="24"/>
          <w:szCs w:val="24"/>
          <w:lang w:val="ro-RO"/>
        </w:rPr>
        <w:t xml:space="preserve">ă de </w:t>
      </w:r>
      <w:r>
        <w:rPr>
          <w:rFonts w:ascii="Times New Roman" w:eastAsia="Times New Roman" w:hAnsi="Times New Roman"/>
          <w:sz w:val="24"/>
          <w:szCs w:val="24"/>
          <w:lang w:val="ro-RO"/>
        </w:rPr>
        <w:t>participare</w:t>
      </w:r>
      <w:r w:rsidRPr="00C2451B">
        <w:rPr>
          <w:rFonts w:ascii="Times New Roman" w:eastAsia="Times New Roman" w:hAnsi="Times New Roman"/>
          <w:sz w:val="24"/>
          <w:szCs w:val="24"/>
          <w:lang w:val="ro-RO"/>
        </w:rPr>
        <w:t xml:space="preserve"> gratuită.</w:t>
      </w:r>
    </w:p>
    <w:p w14:paraId="5009775A" w14:textId="77777777" w:rsidR="003D2582" w:rsidRPr="003D2582" w:rsidRDefault="003D2582" w:rsidP="002175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0A5EB2A" w14:textId="66DA9B4D" w:rsidR="00470A26" w:rsidRDefault="002175BD" w:rsidP="002175BD">
      <w:pPr>
        <w:spacing w:after="0"/>
        <w:jc w:val="both"/>
        <w:rPr>
          <w:rStyle w:val="Hyperlink"/>
          <w:rFonts w:ascii="Times New Roman" w:eastAsia="Times New Roman" w:hAnsi="Times New Roman"/>
          <w:sz w:val="24"/>
          <w:szCs w:val="24"/>
        </w:rPr>
      </w:pPr>
      <w:r w:rsidRPr="00C2451B">
        <w:rPr>
          <w:rFonts w:ascii="Times New Roman" w:eastAsia="Times New Roman" w:hAnsi="Times New Roman"/>
          <w:b/>
          <w:bCs/>
          <w:sz w:val="24"/>
          <w:szCs w:val="24"/>
        </w:rPr>
        <w:t xml:space="preserve">Persoane de contact: </w:t>
      </w:r>
      <w:r w:rsidR="00A03FF3">
        <w:rPr>
          <w:rFonts w:ascii="Times New Roman" w:eastAsia="Times New Roman" w:hAnsi="Times New Roman"/>
          <w:b/>
          <w:bCs/>
          <w:sz w:val="24"/>
          <w:szCs w:val="24"/>
        </w:rPr>
        <w:t xml:space="preserve">Ec. </w:t>
      </w:r>
      <w:r w:rsidRPr="00C2451B">
        <w:rPr>
          <w:rFonts w:ascii="Times New Roman" w:eastAsia="Times New Roman" w:hAnsi="Times New Roman"/>
          <w:b/>
          <w:bCs/>
          <w:sz w:val="24"/>
          <w:szCs w:val="24"/>
        </w:rPr>
        <w:t>Elena Bataei</w:t>
      </w:r>
      <w:r w:rsidRPr="00C2451B">
        <w:rPr>
          <w:rFonts w:ascii="Times New Roman" w:eastAsia="Times New Roman" w:hAnsi="Times New Roman"/>
          <w:sz w:val="24"/>
          <w:szCs w:val="24"/>
        </w:rPr>
        <w:t>, telefon 0372</w:t>
      </w:r>
      <w:r w:rsidR="00D618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451B">
        <w:rPr>
          <w:rFonts w:ascii="Times New Roman" w:eastAsia="Times New Roman" w:hAnsi="Times New Roman"/>
          <w:sz w:val="24"/>
          <w:szCs w:val="24"/>
        </w:rPr>
        <w:t>12</w:t>
      </w:r>
      <w:r w:rsidR="002546FB">
        <w:rPr>
          <w:rFonts w:ascii="Times New Roman" w:eastAsia="Times New Roman" w:hAnsi="Times New Roman"/>
          <w:sz w:val="24"/>
          <w:szCs w:val="24"/>
        </w:rPr>
        <w:t>0</w:t>
      </w:r>
      <w:r w:rsidR="00D618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451B">
        <w:rPr>
          <w:rFonts w:ascii="Times New Roman" w:eastAsia="Times New Roman" w:hAnsi="Times New Roman"/>
          <w:sz w:val="24"/>
          <w:szCs w:val="24"/>
        </w:rPr>
        <w:t>113, 0372</w:t>
      </w:r>
      <w:r w:rsidR="00D618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451B">
        <w:rPr>
          <w:rFonts w:ascii="Times New Roman" w:eastAsia="Times New Roman" w:hAnsi="Times New Roman"/>
          <w:sz w:val="24"/>
          <w:szCs w:val="24"/>
        </w:rPr>
        <w:t>12</w:t>
      </w:r>
      <w:r w:rsidR="002546FB">
        <w:rPr>
          <w:rFonts w:ascii="Times New Roman" w:eastAsia="Times New Roman" w:hAnsi="Times New Roman"/>
          <w:sz w:val="24"/>
          <w:szCs w:val="24"/>
        </w:rPr>
        <w:t>0</w:t>
      </w:r>
      <w:r w:rsidR="00D618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451B">
        <w:rPr>
          <w:rFonts w:ascii="Times New Roman" w:eastAsia="Times New Roman" w:hAnsi="Times New Roman"/>
          <w:sz w:val="24"/>
          <w:szCs w:val="24"/>
        </w:rPr>
        <w:t>257,</w:t>
      </w:r>
      <w:r w:rsidR="00207F32">
        <w:rPr>
          <w:rFonts w:ascii="Times New Roman" w:eastAsia="Times New Roman" w:hAnsi="Times New Roman"/>
          <w:sz w:val="24"/>
          <w:szCs w:val="24"/>
        </w:rPr>
        <w:t xml:space="preserve">  </w:t>
      </w:r>
      <w:r w:rsidR="00207F32" w:rsidRPr="00207F32">
        <w:rPr>
          <w:rFonts w:ascii="Times New Roman" w:eastAsia="Times New Roman" w:hAnsi="Times New Roman"/>
          <w:b/>
          <w:bCs/>
          <w:sz w:val="24"/>
          <w:szCs w:val="24"/>
        </w:rPr>
        <w:t>Av. Mihai Pârvu</w:t>
      </w:r>
      <w:r w:rsidR="00207F32">
        <w:rPr>
          <w:rFonts w:ascii="Times New Roman" w:eastAsia="Times New Roman" w:hAnsi="Times New Roman"/>
          <w:sz w:val="24"/>
          <w:szCs w:val="24"/>
        </w:rPr>
        <w:t xml:space="preserve"> – tel: </w:t>
      </w:r>
      <w:r w:rsidR="00207F32" w:rsidRPr="00207F32">
        <w:rPr>
          <w:rFonts w:ascii="Times New Roman" w:eastAsia="Times New Roman" w:hAnsi="Times New Roman"/>
          <w:sz w:val="24"/>
          <w:szCs w:val="24"/>
        </w:rPr>
        <w:t>+40 756 167 105</w:t>
      </w:r>
      <w:r w:rsidR="00207F32">
        <w:rPr>
          <w:rFonts w:ascii="Times New Roman" w:eastAsia="Times New Roman" w:hAnsi="Times New Roman"/>
          <w:sz w:val="24"/>
          <w:szCs w:val="24"/>
        </w:rPr>
        <w:t>,</w:t>
      </w:r>
      <w:r w:rsidRPr="00C2451B">
        <w:rPr>
          <w:rFonts w:ascii="Times New Roman" w:eastAsia="Times New Roman" w:hAnsi="Times New Roman"/>
          <w:sz w:val="24"/>
          <w:szCs w:val="24"/>
        </w:rPr>
        <w:t xml:space="preserve"> </w:t>
      </w:r>
      <w:r w:rsidR="00470A26" w:rsidRPr="00A03FF3">
        <w:rPr>
          <w:rFonts w:ascii="Times New Roman" w:eastAsia="Times New Roman" w:hAnsi="Times New Roman"/>
          <w:b/>
          <w:bCs/>
          <w:sz w:val="24"/>
          <w:szCs w:val="24"/>
        </w:rPr>
        <w:t>Av. Nicoleta Ioniță</w:t>
      </w:r>
      <w:r w:rsidR="00D618D1" w:rsidRPr="00A03FF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618D1">
        <w:rPr>
          <w:rFonts w:ascii="Times New Roman" w:eastAsia="Times New Roman" w:hAnsi="Times New Roman"/>
          <w:sz w:val="24"/>
          <w:szCs w:val="24"/>
        </w:rPr>
        <w:t xml:space="preserve">- telefon: </w:t>
      </w:r>
      <w:r w:rsidR="00470A26">
        <w:rPr>
          <w:rFonts w:ascii="Times New Roman" w:eastAsia="Times New Roman" w:hAnsi="Times New Roman"/>
          <w:sz w:val="24"/>
          <w:szCs w:val="24"/>
        </w:rPr>
        <w:t>0728</w:t>
      </w:r>
      <w:r w:rsidR="00D618D1">
        <w:rPr>
          <w:rFonts w:ascii="Times New Roman" w:eastAsia="Times New Roman" w:hAnsi="Times New Roman"/>
          <w:sz w:val="24"/>
          <w:szCs w:val="24"/>
        </w:rPr>
        <w:t xml:space="preserve"> </w:t>
      </w:r>
      <w:r w:rsidR="00470A26">
        <w:rPr>
          <w:rFonts w:ascii="Times New Roman" w:eastAsia="Times New Roman" w:hAnsi="Times New Roman"/>
          <w:sz w:val="24"/>
          <w:szCs w:val="24"/>
        </w:rPr>
        <w:t>985</w:t>
      </w:r>
      <w:r w:rsidR="00D618D1">
        <w:rPr>
          <w:rFonts w:ascii="Times New Roman" w:eastAsia="Times New Roman" w:hAnsi="Times New Roman"/>
          <w:sz w:val="24"/>
          <w:szCs w:val="24"/>
        </w:rPr>
        <w:t xml:space="preserve"> </w:t>
      </w:r>
      <w:r w:rsidR="00470A26">
        <w:rPr>
          <w:rFonts w:ascii="Times New Roman" w:eastAsia="Times New Roman" w:hAnsi="Times New Roman"/>
          <w:sz w:val="24"/>
          <w:szCs w:val="24"/>
        </w:rPr>
        <w:t xml:space="preserve">308, </w:t>
      </w:r>
      <w:r w:rsidRPr="00C2451B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11" w:history="1">
        <w:r w:rsidR="00522270" w:rsidRPr="00C2131D">
          <w:rPr>
            <w:rStyle w:val="Hyperlink"/>
            <w:rFonts w:ascii="Times New Roman" w:eastAsia="Times New Roman" w:hAnsi="Times New Roman"/>
            <w:sz w:val="24"/>
            <w:szCs w:val="24"/>
          </w:rPr>
          <w:t>dreptul.afacerilor@rau.ro</w:t>
        </w:r>
      </w:hyperlink>
    </w:p>
    <w:p w14:paraId="43213374" w14:textId="77777777" w:rsidR="00C9756B" w:rsidRDefault="00C9756B" w:rsidP="002175BD">
      <w:pPr>
        <w:spacing w:after="0"/>
        <w:jc w:val="both"/>
        <w:rPr>
          <w:rStyle w:val="Hyperlink"/>
          <w:rFonts w:ascii="Times New Roman" w:eastAsia="Times New Roman" w:hAnsi="Times New Roman"/>
          <w:sz w:val="24"/>
          <w:szCs w:val="24"/>
        </w:rPr>
      </w:pPr>
    </w:p>
    <w:p w14:paraId="6D57465B" w14:textId="367FAAAB" w:rsidR="004352F6" w:rsidRPr="004352F6" w:rsidRDefault="00470A26" w:rsidP="00C9756B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3D2582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>Sponsori:</w:t>
      </w:r>
    </w:p>
    <w:p w14:paraId="2ABE0D7E" w14:textId="364F1AE1" w:rsidR="00470A26" w:rsidRPr="00470A26" w:rsidRDefault="00C9756B" w:rsidP="00470A2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3C6F4AB" wp14:editId="3827A41E">
            <wp:extent cx="2134870" cy="126924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0380" cy="129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F6FDA" w14:textId="208399BC" w:rsidR="004352F6" w:rsidRDefault="00717367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3D2582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 xml:space="preserve">Parteneri </w:t>
      </w:r>
      <w:r w:rsidR="00355788" w:rsidRPr="003D2582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>i</w:t>
      </w:r>
      <w:r w:rsidRPr="003D2582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>nstituționali</w:t>
      </w:r>
      <w:r w:rsidR="0046768F" w:rsidRPr="003D2582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 xml:space="preserve">: </w:t>
      </w:r>
      <w:r w:rsidR="00C9756B" w:rsidRPr="00C9756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Baroul București, </w:t>
      </w:r>
      <w:r w:rsidR="00C9756B" w:rsidRPr="00470A26">
        <w:rPr>
          <w:rFonts w:ascii="Times New Roman" w:eastAsia="Times New Roman" w:hAnsi="Times New Roman"/>
          <w:b/>
          <w:bCs/>
          <w:sz w:val="24"/>
          <w:szCs w:val="24"/>
        </w:rPr>
        <w:t xml:space="preserve">Institutul Național </w:t>
      </w:r>
      <w:r w:rsidR="00C9756B">
        <w:rPr>
          <w:rFonts w:ascii="Times New Roman" w:eastAsia="Times New Roman" w:hAnsi="Times New Roman"/>
          <w:b/>
          <w:bCs/>
          <w:sz w:val="24"/>
          <w:szCs w:val="24"/>
        </w:rPr>
        <w:t>d</w:t>
      </w:r>
      <w:r w:rsidR="00C9756B" w:rsidRPr="00470A26">
        <w:rPr>
          <w:rFonts w:ascii="Times New Roman" w:eastAsia="Times New Roman" w:hAnsi="Times New Roman"/>
          <w:b/>
          <w:bCs/>
          <w:sz w:val="24"/>
          <w:szCs w:val="24"/>
        </w:rPr>
        <w:t xml:space="preserve">e Pregătire </w:t>
      </w:r>
      <w:r w:rsidR="00C9756B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="00C9756B" w:rsidRPr="00470A26">
        <w:rPr>
          <w:rFonts w:ascii="Times New Roman" w:eastAsia="Times New Roman" w:hAnsi="Times New Roman"/>
          <w:b/>
          <w:bCs/>
          <w:sz w:val="24"/>
          <w:szCs w:val="24"/>
        </w:rPr>
        <w:t xml:space="preserve"> Practicienilor </w:t>
      </w:r>
      <w:r w:rsidR="00C9756B">
        <w:rPr>
          <w:rFonts w:ascii="Times New Roman" w:eastAsia="Times New Roman" w:hAnsi="Times New Roman"/>
          <w:b/>
          <w:bCs/>
          <w:sz w:val="24"/>
          <w:szCs w:val="24"/>
        </w:rPr>
        <w:t>î</w:t>
      </w:r>
      <w:r w:rsidR="00C9756B" w:rsidRPr="00470A26">
        <w:rPr>
          <w:rFonts w:ascii="Times New Roman" w:eastAsia="Times New Roman" w:hAnsi="Times New Roman"/>
          <w:b/>
          <w:bCs/>
          <w:sz w:val="24"/>
          <w:szCs w:val="24"/>
        </w:rPr>
        <w:t>n Insolvență</w:t>
      </w:r>
    </w:p>
    <w:p w14:paraId="2E5247C9" w14:textId="0526EA68" w:rsidR="004352F6" w:rsidRDefault="00C9756B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C69089" wp14:editId="40FB56DF">
            <wp:simplePos x="0" y="0"/>
            <wp:positionH relativeFrom="column">
              <wp:posOffset>40640</wp:posOffset>
            </wp:positionH>
            <wp:positionV relativeFrom="paragraph">
              <wp:posOffset>107950</wp:posOffset>
            </wp:positionV>
            <wp:extent cx="1064260" cy="1234440"/>
            <wp:effectExtent l="0" t="0" r="2540" b="3810"/>
            <wp:wrapTight wrapText="bothSides">
              <wp:wrapPolygon edited="0">
                <wp:start x="1933" y="0"/>
                <wp:lineTo x="0" y="1000"/>
                <wp:lineTo x="0" y="6000"/>
                <wp:lineTo x="387" y="10667"/>
                <wp:lineTo x="3093" y="16000"/>
                <wp:lineTo x="8119" y="21333"/>
                <wp:lineTo x="8506" y="21333"/>
                <wp:lineTo x="12372" y="21333"/>
                <wp:lineTo x="12759" y="21333"/>
                <wp:lineTo x="17785" y="16000"/>
                <wp:lineTo x="20105" y="10667"/>
                <wp:lineTo x="21265" y="5000"/>
                <wp:lineTo x="21265" y="1333"/>
                <wp:lineTo x="19718" y="0"/>
                <wp:lineTo x="1933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367" w:rsidRPr="00470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>
        <w:rPr>
          <w:noProof/>
        </w:rPr>
        <w:drawing>
          <wp:inline distT="0" distB="0" distL="0" distR="0" wp14:anchorId="312AD8CE" wp14:editId="57068B1D">
            <wp:extent cx="1159238" cy="137160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38" cy="140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B31" w:rsidRPr="00FC5B31">
        <w:rPr>
          <w:noProof/>
        </w:rPr>
        <w:t xml:space="preserve"> </w:t>
      </w:r>
    </w:p>
    <w:p w14:paraId="7B58228D" w14:textId="364E7ED2" w:rsidR="004352F6" w:rsidRPr="003D2582" w:rsidRDefault="002546FB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C00000"/>
          <w:sz w:val="24"/>
          <w:szCs w:val="24"/>
        </w:rPr>
      </w:pPr>
      <w:r w:rsidRPr="003D2582">
        <w:rPr>
          <w:rFonts w:ascii="Times New Roman" w:eastAsia="Times New Roman" w:hAnsi="Times New Roman"/>
          <w:b/>
          <w:bCs/>
          <w:noProof/>
          <w:color w:val="C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8CA6747" wp14:editId="46D15027">
            <wp:simplePos x="0" y="0"/>
            <wp:positionH relativeFrom="column">
              <wp:posOffset>2743200</wp:posOffset>
            </wp:positionH>
            <wp:positionV relativeFrom="paragraph">
              <wp:posOffset>375920</wp:posOffset>
            </wp:positionV>
            <wp:extent cx="1125855" cy="17043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7D9" w:rsidRPr="003D2582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>Parteneri</w:t>
      </w:r>
      <w:r w:rsidR="004352F6" w:rsidRPr="003D2582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>:</w:t>
      </w:r>
    </w:p>
    <w:p w14:paraId="4ADC4BD5" w14:textId="53EFEC71" w:rsidR="006517D9" w:rsidRPr="00470A26" w:rsidRDefault="002546FB" w:rsidP="00C9756B">
      <w:pPr>
        <w:tabs>
          <w:tab w:val="left" w:pos="3402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7F0FF1" wp14:editId="4DF47AC5">
            <wp:simplePos x="0" y="0"/>
            <wp:positionH relativeFrom="column">
              <wp:posOffset>4238625</wp:posOffset>
            </wp:positionH>
            <wp:positionV relativeFrom="paragraph">
              <wp:posOffset>3810</wp:posOffset>
            </wp:positionV>
            <wp:extent cx="2057400" cy="1609725"/>
            <wp:effectExtent l="0" t="0" r="0" b="9525"/>
            <wp:wrapNone/>
            <wp:docPr id="9" name="Picture 9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52F6">
        <w:rPr>
          <w:noProof/>
        </w:rPr>
        <w:drawing>
          <wp:inline distT="0" distB="0" distL="0" distR="0" wp14:anchorId="19BD0849" wp14:editId="69537BF1">
            <wp:extent cx="2183642" cy="832474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45711" cy="85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4DDF2" w14:textId="77777777" w:rsidR="002546FB" w:rsidRDefault="002546FB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14:paraId="3221C04D" w14:textId="30139882" w:rsidR="004352F6" w:rsidRPr="003D2582" w:rsidRDefault="00717367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C00000"/>
          <w:sz w:val="24"/>
          <w:szCs w:val="24"/>
        </w:rPr>
      </w:pPr>
      <w:r w:rsidRPr="003D2582">
        <w:rPr>
          <w:rFonts w:ascii="Times New Roman" w:eastAsia="Times New Roman" w:hAnsi="Times New Roman"/>
          <w:b/>
          <w:bCs/>
          <w:color w:val="C00000"/>
          <w:sz w:val="24"/>
          <w:szCs w:val="24"/>
        </w:rPr>
        <w:t xml:space="preserve">Parteneri Media: </w:t>
      </w:r>
    </w:p>
    <w:p w14:paraId="4F11D235" w14:textId="0286FB12" w:rsidR="004352F6" w:rsidRDefault="005B604D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F6CDDB" wp14:editId="1241A2D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43585" cy="743585"/>
            <wp:effectExtent l="0" t="0" r="0" b="0"/>
            <wp:wrapSquare wrapText="bothSides"/>
            <wp:docPr id="12" name="Picture 12" descr="JURIDICE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RIDICE.r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C039F" w14:textId="4C1A7572" w:rsidR="0093153F" w:rsidRDefault="00C9756B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975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5365670" w14:textId="77777777" w:rsidR="00522270" w:rsidRDefault="00522270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848C16A" w14:textId="77777777" w:rsidR="00522270" w:rsidRDefault="00522270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DBFD178" w14:textId="71453D2C" w:rsidR="005B604D" w:rsidRDefault="00C5350E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COMITET DE ORGANIZARE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ȘI ȘTIINȚIFIC:</w:t>
      </w:r>
    </w:p>
    <w:p w14:paraId="732970B0" w14:textId="44A7B7DC" w:rsidR="00C5350E" w:rsidRPr="00C5350E" w:rsidRDefault="00C5350E" w:rsidP="002175BD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535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Conf. univ. dr. Luminița Tuleașcă</w:t>
      </w:r>
      <w:r w:rsidR="0052227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(project manager)</w:t>
      </w:r>
      <w:r w:rsidRPr="00C535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C5350E">
        <w:rPr>
          <w:rFonts w:ascii="Times New Roman" w:eastAsia="Times New Roman" w:hAnsi="Times New Roman"/>
          <w:bCs/>
          <w:sz w:val="24"/>
          <w:szCs w:val="24"/>
        </w:rPr>
        <w:t>lector univ. dr. Sergiu Golub</w:t>
      </w:r>
      <w:r w:rsidRPr="00C535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conf. univ. dr. Vasile Nemeș, </w:t>
      </w:r>
      <w:r w:rsidR="0052227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conf. univ. dr. Mihaela Prună, </w:t>
      </w:r>
      <w:r w:rsidRPr="00C5350E">
        <w:rPr>
          <w:rFonts w:ascii="Times New Roman" w:eastAsia="Times New Roman" w:hAnsi="Times New Roman"/>
          <w:bCs/>
          <w:sz w:val="24"/>
          <w:szCs w:val="24"/>
        </w:rPr>
        <w:t>lector univ. dr. Ion Dragne,</w:t>
      </w:r>
      <w:r w:rsidRPr="00C535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conf. univ. dr. Ciprian Păun, </w:t>
      </w:r>
      <w:r w:rsidRPr="00C5350E">
        <w:rPr>
          <w:rFonts w:ascii="Times New Roman" w:eastAsia="Times New Roman" w:hAnsi="Times New Roman"/>
          <w:bCs/>
          <w:sz w:val="24"/>
          <w:szCs w:val="24"/>
        </w:rPr>
        <w:t xml:space="preserve"> lector univ. dr. Elisabeta Roșu, </w:t>
      </w:r>
      <w:r w:rsidRPr="00C535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lector univ. dr. Alina Oprea</w:t>
      </w:r>
      <w:r w:rsidRPr="00C5350E">
        <w:rPr>
          <w:rFonts w:ascii="Times New Roman" w:eastAsia="Times New Roman" w:hAnsi="Times New Roman"/>
          <w:bCs/>
          <w:sz w:val="24"/>
          <w:szCs w:val="24"/>
        </w:rPr>
        <w:t xml:space="preserve">, conf. univ. dr. Gabriel Ispas, </w:t>
      </w:r>
      <w:r w:rsidRPr="00C535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lector univ. dr. Manole Popa,  conf. univ. dr. Mihai Olariu, Dr. Nicoleta Țăndăreanu</w:t>
      </w:r>
      <w:r w:rsidRPr="00C5350E">
        <w:rPr>
          <w:rFonts w:ascii="Times New Roman" w:eastAsia="Times New Roman" w:hAnsi="Times New Roman"/>
          <w:bCs/>
          <w:sz w:val="24"/>
          <w:szCs w:val="24"/>
        </w:rPr>
        <w:t>, drd. Nicoleta Mirela Năstăsie, conf. univ. dr. Adrian Țuțuianu.</w:t>
      </w:r>
    </w:p>
    <w:p w14:paraId="461FFFDC" w14:textId="77777777" w:rsidR="002175BD" w:rsidRPr="00817155" w:rsidRDefault="002175BD" w:rsidP="002175BD">
      <w:pPr>
        <w:pStyle w:val="NoSpacing"/>
        <w:spacing w:after="12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AA14DE7" w14:textId="45E8315E" w:rsidR="00752EF4" w:rsidRPr="00817155" w:rsidRDefault="00752EF4" w:rsidP="002175BD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752EF4" w:rsidRPr="00817155" w:rsidSect="000730F7">
      <w:headerReference w:type="default" r:id="rId19"/>
      <w:pgSz w:w="12240" w:h="15840"/>
      <w:pgMar w:top="1440" w:right="1440" w:bottom="284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272DE" w14:textId="77777777" w:rsidR="00420C49" w:rsidRDefault="00420C49" w:rsidP="00F55E27">
      <w:pPr>
        <w:spacing w:after="0" w:line="240" w:lineRule="auto"/>
      </w:pPr>
      <w:r>
        <w:separator/>
      </w:r>
    </w:p>
  </w:endnote>
  <w:endnote w:type="continuationSeparator" w:id="0">
    <w:p w14:paraId="386AA946" w14:textId="77777777" w:rsidR="00420C49" w:rsidRDefault="00420C49" w:rsidP="00F5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B8256" w14:textId="77777777" w:rsidR="00420C49" w:rsidRDefault="00420C49" w:rsidP="00F55E27">
      <w:pPr>
        <w:spacing w:after="0" w:line="240" w:lineRule="auto"/>
      </w:pPr>
      <w:r>
        <w:separator/>
      </w:r>
    </w:p>
  </w:footnote>
  <w:footnote w:type="continuationSeparator" w:id="0">
    <w:p w14:paraId="59F1C7F8" w14:textId="77777777" w:rsidR="00420C49" w:rsidRDefault="00420C49" w:rsidP="00F5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34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4536"/>
      <w:gridCol w:w="3402"/>
    </w:tblGrid>
    <w:tr w:rsidR="00F55E27" w14:paraId="3C468252" w14:textId="77777777" w:rsidTr="00F55E27">
      <w:trPr>
        <w:trHeight w:val="1691"/>
      </w:trPr>
      <w:tc>
        <w:tcPr>
          <w:tcW w:w="3403" w:type="dxa"/>
        </w:tcPr>
        <w:p w14:paraId="16C3F386" w14:textId="12134AE6" w:rsidR="00F55E27" w:rsidRDefault="002175BD" w:rsidP="00894F8E">
          <w:pPr>
            <w:pStyle w:val="Header"/>
            <w:ind w:left="608" w:right="-394"/>
            <w:jc w:val="center"/>
          </w:pPr>
          <w:r w:rsidRPr="002175BD">
            <w:rPr>
              <w:noProof/>
            </w:rPr>
            <w:drawing>
              <wp:inline distT="0" distB="0" distL="0" distR="0" wp14:anchorId="4700D4B5" wp14:editId="1ABD6B9A">
                <wp:extent cx="1623515" cy="1520907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766" cy="1548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76622B53" w14:textId="77777777" w:rsidR="00F55E27" w:rsidRDefault="009463C5" w:rsidP="00F55E27">
          <w:pPr>
            <w:pStyle w:val="Header"/>
            <w:jc w:val="center"/>
          </w:pPr>
          <w:r>
            <w:pict w14:anchorId="0CC1AE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pt;height:126pt">
                <v:imagedata r:id="rId2" o:title="(RO) URA, cerc pe fond alb"/>
              </v:shape>
            </w:pict>
          </w:r>
        </w:p>
      </w:tc>
      <w:tc>
        <w:tcPr>
          <w:tcW w:w="3402" w:type="dxa"/>
        </w:tcPr>
        <w:p w14:paraId="2F251294" w14:textId="77777777" w:rsidR="00F55E27" w:rsidRDefault="009463C5" w:rsidP="00F55E27">
          <w:pPr>
            <w:pStyle w:val="Header"/>
            <w:jc w:val="center"/>
          </w:pPr>
          <w:r>
            <w:pict w14:anchorId="7D4F6126">
              <v:shape id="_x0000_i1026" type="#_x0000_t75" style="width:120pt;height:120pt">
                <v:imagedata r:id="rId3" o:title="WhatsApp Image 2019-10-07 at 14"/>
              </v:shape>
            </w:pict>
          </w:r>
        </w:p>
      </w:tc>
    </w:tr>
  </w:tbl>
  <w:p w14:paraId="7802535C" w14:textId="77777777" w:rsidR="00F55E27" w:rsidRDefault="00F55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009"/>
    <w:multiLevelType w:val="multilevel"/>
    <w:tmpl w:val="981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069A9"/>
    <w:multiLevelType w:val="multilevel"/>
    <w:tmpl w:val="B2AE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27"/>
    <w:rsid w:val="00055F5C"/>
    <w:rsid w:val="00063F49"/>
    <w:rsid w:val="000730F7"/>
    <w:rsid w:val="00094CD7"/>
    <w:rsid w:val="000A020F"/>
    <w:rsid w:val="00140020"/>
    <w:rsid w:val="001C58C9"/>
    <w:rsid w:val="001D3003"/>
    <w:rsid w:val="00207F32"/>
    <w:rsid w:val="00212BCF"/>
    <w:rsid w:val="002175BD"/>
    <w:rsid w:val="00223A5C"/>
    <w:rsid w:val="00243D93"/>
    <w:rsid w:val="002546FB"/>
    <w:rsid w:val="002C7BE7"/>
    <w:rsid w:val="00325B05"/>
    <w:rsid w:val="00355788"/>
    <w:rsid w:val="0035745B"/>
    <w:rsid w:val="0037551F"/>
    <w:rsid w:val="003956BA"/>
    <w:rsid w:val="003B6258"/>
    <w:rsid w:val="003D2582"/>
    <w:rsid w:val="00420C49"/>
    <w:rsid w:val="004352F6"/>
    <w:rsid w:val="0046004B"/>
    <w:rsid w:val="00462102"/>
    <w:rsid w:val="0046768F"/>
    <w:rsid w:val="00470A26"/>
    <w:rsid w:val="00494C5E"/>
    <w:rsid w:val="004E2BFA"/>
    <w:rsid w:val="004E48D6"/>
    <w:rsid w:val="00522270"/>
    <w:rsid w:val="0056747A"/>
    <w:rsid w:val="005832FF"/>
    <w:rsid w:val="005836E3"/>
    <w:rsid w:val="00584D15"/>
    <w:rsid w:val="005B604D"/>
    <w:rsid w:val="00623151"/>
    <w:rsid w:val="006449CF"/>
    <w:rsid w:val="006517D9"/>
    <w:rsid w:val="00691F46"/>
    <w:rsid w:val="00692B5B"/>
    <w:rsid w:val="006938C1"/>
    <w:rsid w:val="006A21C2"/>
    <w:rsid w:val="006B1E24"/>
    <w:rsid w:val="006B465A"/>
    <w:rsid w:val="006F1074"/>
    <w:rsid w:val="00707724"/>
    <w:rsid w:val="00717367"/>
    <w:rsid w:val="007310E6"/>
    <w:rsid w:val="007503EB"/>
    <w:rsid w:val="00752EF4"/>
    <w:rsid w:val="00753493"/>
    <w:rsid w:val="0075677D"/>
    <w:rsid w:val="00777681"/>
    <w:rsid w:val="007F2D63"/>
    <w:rsid w:val="008105AA"/>
    <w:rsid w:val="00817155"/>
    <w:rsid w:val="00834E5D"/>
    <w:rsid w:val="00894F8E"/>
    <w:rsid w:val="008A0722"/>
    <w:rsid w:val="008C1FDB"/>
    <w:rsid w:val="008D26BC"/>
    <w:rsid w:val="008E2239"/>
    <w:rsid w:val="008E2269"/>
    <w:rsid w:val="00910B0C"/>
    <w:rsid w:val="0093153F"/>
    <w:rsid w:val="00942042"/>
    <w:rsid w:val="009463C5"/>
    <w:rsid w:val="00991028"/>
    <w:rsid w:val="0099613F"/>
    <w:rsid w:val="00A03FF3"/>
    <w:rsid w:val="00A17390"/>
    <w:rsid w:val="00A81253"/>
    <w:rsid w:val="00A90BB3"/>
    <w:rsid w:val="00A97129"/>
    <w:rsid w:val="00AC50FD"/>
    <w:rsid w:val="00B028CF"/>
    <w:rsid w:val="00B1420D"/>
    <w:rsid w:val="00B910BD"/>
    <w:rsid w:val="00B93683"/>
    <w:rsid w:val="00BB1928"/>
    <w:rsid w:val="00BE1AB5"/>
    <w:rsid w:val="00BF6B91"/>
    <w:rsid w:val="00C26B3D"/>
    <w:rsid w:val="00C340C2"/>
    <w:rsid w:val="00C3443F"/>
    <w:rsid w:val="00C35D7D"/>
    <w:rsid w:val="00C5350E"/>
    <w:rsid w:val="00C9756B"/>
    <w:rsid w:val="00CA09EF"/>
    <w:rsid w:val="00CE542D"/>
    <w:rsid w:val="00D2225F"/>
    <w:rsid w:val="00D35BF0"/>
    <w:rsid w:val="00D45FB4"/>
    <w:rsid w:val="00D618D1"/>
    <w:rsid w:val="00DC64F3"/>
    <w:rsid w:val="00DD7D67"/>
    <w:rsid w:val="00E54CD4"/>
    <w:rsid w:val="00E56B07"/>
    <w:rsid w:val="00E7150B"/>
    <w:rsid w:val="00EB1912"/>
    <w:rsid w:val="00EC66F3"/>
    <w:rsid w:val="00F05B62"/>
    <w:rsid w:val="00F22E69"/>
    <w:rsid w:val="00F55E27"/>
    <w:rsid w:val="00F83626"/>
    <w:rsid w:val="00F905D2"/>
    <w:rsid w:val="00FC5B31"/>
    <w:rsid w:val="00FD61E9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FAD19"/>
  <w15:chartTrackingRefBased/>
  <w15:docId w15:val="{F58E8A6E-7789-4EEE-9A3F-ED491EA8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61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6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6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9463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27"/>
  </w:style>
  <w:style w:type="paragraph" w:styleId="Footer">
    <w:name w:val="footer"/>
    <w:basedOn w:val="Normal"/>
    <w:link w:val="FooterChar"/>
    <w:uiPriority w:val="99"/>
    <w:unhideWhenUsed/>
    <w:rsid w:val="00F55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27"/>
  </w:style>
  <w:style w:type="table" w:styleId="TableGrid">
    <w:name w:val="Table Grid"/>
    <w:basedOn w:val="TableNormal"/>
    <w:uiPriority w:val="39"/>
    <w:rsid w:val="00F5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30F7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0730F7"/>
    <w:rPr>
      <w:b/>
      <w:bCs/>
    </w:rPr>
  </w:style>
  <w:style w:type="paragraph" w:styleId="NormalWeb">
    <w:name w:val="Normal (Web)"/>
    <w:basedOn w:val="Normal"/>
    <w:uiPriority w:val="99"/>
    <w:unhideWhenUsed/>
    <w:rsid w:val="0007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730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D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463C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546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6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6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6F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89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7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1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0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.law.rau.ro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usiness.law.rau.ro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eptul.afacerilor@rau.r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dreptul.afacerilor@rau.r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eptul.afacerilor@rau.ro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Luminita TULEASCA</cp:lastModifiedBy>
  <cp:revision>23</cp:revision>
  <dcterms:created xsi:type="dcterms:W3CDTF">2019-10-11T09:10:00Z</dcterms:created>
  <dcterms:modified xsi:type="dcterms:W3CDTF">2019-10-22T19:45:00Z</dcterms:modified>
</cp:coreProperties>
</file>