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0A961" w14:textId="77777777" w:rsidR="00B562EE" w:rsidRPr="006B415F" w:rsidRDefault="00B562EE" w:rsidP="00B562EE">
      <w:pPr>
        <w:spacing w:after="0"/>
        <w:ind w:left="0"/>
        <w:rPr>
          <w:lang w:val="ro-RO"/>
        </w:rPr>
      </w:pPr>
    </w:p>
    <w:p w14:paraId="4C5E9DF8" w14:textId="77777777" w:rsidR="002A74B6" w:rsidRPr="006B415F" w:rsidRDefault="002A74B6" w:rsidP="00B562EE">
      <w:pPr>
        <w:spacing w:after="0"/>
        <w:ind w:left="0"/>
        <w:jc w:val="center"/>
        <w:rPr>
          <w:b/>
          <w:lang w:val="ro-RO"/>
        </w:rPr>
      </w:pPr>
      <w:bookmarkStart w:id="0" w:name="_GoBack"/>
      <w:r w:rsidRPr="006B415F">
        <w:rPr>
          <w:b/>
          <w:lang w:val="ro-RO"/>
        </w:rPr>
        <w:t>Brexit (Proiectul Acordului de retragere și menținerea instrumentelor UE de cooperare în relația cu Regatul Unit până la 31.12.2020)</w:t>
      </w:r>
    </w:p>
    <w:bookmarkEnd w:id="0"/>
    <w:p w14:paraId="64DF019E" w14:textId="77777777" w:rsidR="007F275F" w:rsidRPr="006B415F" w:rsidRDefault="007F275F" w:rsidP="00B562EE">
      <w:pPr>
        <w:spacing w:after="0"/>
        <w:ind w:left="0"/>
        <w:rPr>
          <w:b/>
          <w:lang w:val="ro-RO"/>
        </w:rPr>
      </w:pPr>
    </w:p>
    <w:p w14:paraId="5A4DF206" w14:textId="77777777" w:rsidR="00855FEB" w:rsidRPr="006B415F" w:rsidRDefault="00104E9F" w:rsidP="00B562EE">
      <w:pPr>
        <w:spacing w:after="0"/>
        <w:ind w:left="0"/>
        <w:rPr>
          <w:b/>
          <w:lang w:val="ro-RO"/>
        </w:rPr>
      </w:pPr>
      <w:r w:rsidRPr="006B415F">
        <w:rPr>
          <w:b/>
          <w:lang w:val="ro-RO"/>
        </w:rPr>
        <w:t>Până la terminarea perioadei de tranziție (31.12.2020</w:t>
      </w:r>
      <w:r w:rsidR="00E807EF" w:rsidRPr="006B415F">
        <w:rPr>
          <w:b/>
          <w:lang w:val="ro-RO"/>
        </w:rPr>
        <w:t xml:space="preserve">) </w:t>
      </w:r>
      <w:r w:rsidR="00062F66" w:rsidRPr="006B415F">
        <w:rPr>
          <w:b/>
          <w:lang w:val="ro-RO"/>
        </w:rPr>
        <w:t xml:space="preserve">se vor aplica </w:t>
      </w:r>
      <w:r w:rsidR="00E807EF" w:rsidRPr="006B415F">
        <w:rPr>
          <w:b/>
          <w:lang w:val="ro-RO"/>
        </w:rPr>
        <w:t xml:space="preserve">în relația cu </w:t>
      </w:r>
      <w:r w:rsidR="00062F66" w:rsidRPr="006B415F">
        <w:rPr>
          <w:b/>
          <w:lang w:val="ro-RO"/>
        </w:rPr>
        <w:t xml:space="preserve">UK următoarele instrumente </w:t>
      </w:r>
      <w:r w:rsidR="00855FEB" w:rsidRPr="006B415F">
        <w:rPr>
          <w:b/>
          <w:lang w:val="ro-RO"/>
        </w:rPr>
        <w:t xml:space="preserve"> (Titlul VI, art. 62-65)</w:t>
      </w:r>
    </w:p>
    <w:p w14:paraId="7B4AB208" w14:textId="77777777" w:rsidR="00104E9F" w:rsidRPr="006B415F" w:rsidRDefault="00104E9F" w:rsidP="00B562EE">
      <w:pPr>
        <w:spacing w:after="0"/>
        <w:ind w:left="0"/>
        <w:rPr>
          <w:b/>
          <w:lang w:val="ro-RO"/>
        </w:rPr>
      </w:pPr>
    </w:p>
    <w:p w14:paraId="7B9CE5A6" w14:textId="77777777" w:rsidR="00062F66" w:rsidRPr="006B415F" w:rsidRDefault="00062F66" w:rsidP="00B562EE">
      <w:pPr>
        <w:spacing w:after="0"/>
        <w:ind w:left="0"/>
        <w:rPr>
          <w:lang w:val="ro-RO"/>
        </w:rPr>
      </w:pPr>
      <w:r w:rsidRPr="006B415F">
        <w:rPr>
          <w:b/>
          <w:u w:val="single"/>
          <w:lang w:val="ro-RO"/>
        </w:rPr>
        <w:t>Art. 62</w:t>
      </w:r>
      <w:r w:rsidRPr="006B415F">
        <w:rPr>
          <w:b/>
          <w:lang w:val="ro-RO"/>
        </w:rPr>
        <w:t xml:space="preserve"> Legea aplicabilă obligațiilor contractuale</w:t>
      </w:r>
      <w:r w:rsidR="0080600A" w:rsidRPr="006B415F">
        <w:rPr>
          <w:b/>
          <w:lang w:val="ro-RO"/>
        </w:rPr>
        <w:t>/non-contractuale</w:t>
      </w:r>
      <w:r w:rsidR="0080600A" w:rsidRPr="006B415F">
        <w:rPr>
          <w:lang w:val="ro-RO"/>
        </w:rPr>
        <w:t xml:space="preserve"> </w:t>
      </w:r>
      <w:r w:rsidR="0080600A" w:rsidRPr="006B415F">
        <w:rPr>
          <w:b/>
          <w:lang w:val="ro-RO"/>
        </w:rPr>
        <w:t>pentru contracte încheiate, respectiv evenimentul care cauzat prejudiciul a survenit înainte de terminarea perioadei de tranziție</w:t>
      </w:r>
      <w:r w:rsidRPr="006B415F">
        <w:rPr>
          <w:lang w:val="ro-RO"/>
        </w:rPr>
        <w:t xml:space="preserve"> Regulamentul (CE) nr. 593/2008 din 17 iunie 2008 privind legea aplicabilă obligațiilor contractuale (Roma I)</w:t>
      </w:r>
      <w:r w:rsidR="00855FEB" w:rsidRPr="006B415F">
        <w:rPr>
          <w:lang w:val="ro-RO"/>
        </w:rPr>
        <w:t xml:space="preserve"> și </w:t>
      </w:r>
      <w:r w:rsidRPr="006B415F">
        <w:rPr>
          <w:lang w:val="ro-RO"/>
        </w:rPr>
        <w:t>Regulamentul (CE) nr. 864/2007 al Parlamentului European şi al Consiliului din 11 iulie 2007 privind legea aplicabilă obligaţiilor necontractuale (Roma II)</w:t>
      </w:r>
    </w:p>
    <w:p w14:paraId="4D22FE2D" w14:textId="77777777" w:rsidR="00104E9F" w:rsidRPr="006B415F" w:rsidRDefault="00104E9F" w:rsidP="00B562EE">
      <w:pPr>
        <w:spacing w:after="0"/>
        <w:ind w:left="0"/>
        <w:rPr>
          <w:lang w:val="ro-RO"/>
        </w:rPr>
      </w:pPr>
    </w:p>
    <w:p w14:paraId="527DDB57" w14:textId="77777777" w:rsidR="00062F66" w:rsidRPr="006B415F" w:rsidRDefault="00062F66" w:rsidP="00B562EE">
      <w:pPr>
        <w:spacing w:after="0"/>
        <w:ind w:left="0"/>
        <w:rPr>
          <w:b/>
          <w:lang w:val="ro-RO"/>
        </w:rPr>
      </w:pPr>
      <w:r w:rsidRPr="006B415F">
        <w:rPr>
          <w:b/>
          <w:u w:val="single"/>
          <w:lang w:val="ro-RO"/>
        </w:rPr>
        <w:t>Art. 63</w:t>
      </w:r>
      <w:r w:rsidRPr="006B415F">
        <w:rPr>
          <w:b/>
          <w:lang w:val="ro-RO"/>
        </w:rPr>
        <w:t xml:space="preserve"> Competența, recunoașterea și executarea hotărârilor și cooperarea între autoritățile centrale </w:t>
      </w:r>
    </w:p>
    <w:p w14:paraId="41546E06" w14:textId="77777777" w:rsidR="00062F66" w:rsidRPr="006B415F" w:rsidRDefault="00062F66" w:rsidP="00B562EE">
      <w:pPr>
        <w:spacing w:after="0"/>
        <w:ind w:left="0"/>
        <w:rPr>
          <w:b/>
          <w:lang w:val="ro-RO"/>
        </w:rPr>
      </w:pPr>
      <w:r w:rsidRPr="006B415F">
        <w:rPr>
          <w:b/>
          <w:lang w:val="ro-RO"/>
        </w:rPr>
        <w:t xml:space="preserve">Normele de competență </w:t>
      </w:r>
      <w:r w:rsidR="0080600A" w:rsidRPr="006B415F">
        <w:rPr>
          <w:b/>
          <w:lang w:val="ro-RO"/>
        </w:rPr>
        <w:t xml:space="preserve">pentru proceduri judiciare inițiate înainte de terminarea perioadei de tranziție </w:t>
      </w:r>
      <w:r w:rsidRPr="006B415F">
        <w:rPr>
          <w:b/>
          <w:lang w:val="ro-RO"/>
        </w:rPr>
        <w:t>din</w:t>
      </w:r>
    </w:p>
    <w:p w14:paraId="5F0DB8B7" w14:textId="77777777" w:rsidR="00062F66" w:rsidRPr="006B415F" w:rsidRDefault="00062F66" w:rsidP="00B562EE">
      <w:pPr>
        <w:spacing w:after="0"/>
        <w:ind w:left="0"/>
        <w:rPr>
          <w:lang w:val="ro-RO"/>
        </w:rPr>
      </w:pPr>
      <w:r w:rsidRPr="006B415F">
        <w:rPr>
          <w:lang w:val="ro-RO"/>
        </w:rPr>
        <w:t>Regulamentul (UE) nr. 1215/2012 al Parlamentului European şi al Consiliului din 12.12.2012 privind competenţa judiciară, recunoaşterea şi executarea hotărârilor în materie civilă şi comercială</w:t>
      </w:r>
    </w:p>
    <w:p w14:paraId="2C742AD6" w14:textId="77777777" w:rsidR="00062F66" w:rsidRPr="006B415F" w:rsidRDefault="00062F66" w:rsidP="00B562EE">
      <w:pPr>
        <w:spacing w:after="0"/>
        <w:ind w:left="0"/>
        <w:rPr>
          <w:lang w:val="ro-RO"/>
        </w:rPr>
      </w:pPr>
      <w:r w:rsidRPr="006B415F">
        <w:rPr>
          <w:lang w:val="ro-RO"/>
        </w:rPr>
        <w:t>REGULAMENTUL (UE) 2017/1001 AL PARLAMENTULUI EUROPEAN ȘI AL CONSILIULUI din 14 iunie 2017 privind marca Uniunii Europene</w:t>
      </w:r>
    </w:p>
    <w:p w14:paraId="7F9C0BDC" w14:textId="77777777" w:rsidR="00062F66" w:rsidRPr="006B415F" w:rsidRDefault="00062F66" w:rsidP="00B562EE">
      <w:pPr>
        <w:spacing w:after="0"/>
        <w:ind w:left="0"/>
        <w:rPr>
          <w:lang w:val="ro-RO"/>
        </w:rPr>
      </w:pPr>
      <w:r w:rsidRPr="006B415F">
        <w:rPr>
          <w:lang w:val="ro-RO"/>
        </w:rPr>
        <w:t>REGULAMENTUL (CE) NR. 6/2002 AL CONSILIULUI din 12 decembrie 2001 privind desenele sau modelele industriale comunitare</w:t>
      </w:r>
    </w:p>
    <w:p w14:paraId="207FF900" w14:textId="77777777" w:rsidR="00062F66" w:rsidRPr="006B415F" w:rsidRDefault="00062F66" w:rsidP="00B562EE">
      <w:pPr>
        <w:spacing w:after="0"/>
        <w:ind w:left="0"/>
        <w:rPr>
          <w:lang w:val="ro-RO"/>
        </w:rPr>
      </w:pPr>
      <w:r w:rsidRPr="006B415F">
        <w:rPr>
          <w:lang w:val="ro-RO"/>
        </w:rPr>
        <w:t>REGULAMENTUL (CE) NR. 2100/94 AL CONSILIULUI din 27 iulie 1994 de instituire a unui sistem de protecție comunitară a soiurilor de plante</w:t>
      </w:r>
    </w:p>
    <w:p w14:paraId="68803510" w14:textId="77777777" w:rsidR="00062F66" w:rsidRPr="006B415F" w:rsidRDefault="00062F66" w:rsidP="00B562EE">
      <w:pPr>
        <w:spacing w:after="0"/>
        <w:ind w:left="0"/>
        <w:rPr>
          <w:lang w:val="ro-RO"/>
        </w:rPr>
      </w:pPr>
      <w:r w:rsidRPr="006B415F">
        <w:rPr>
          <w:lang w:val="ro-RO"/>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9808C45" w14:textId="77777777" w:rsidR="00062F66" w:rsidRPr="006B415F" w:rsidRDefault="00062F66" w:rsidP="00B562EE">
      <w:pPr>
        <w:spacing w:after="0"/>
        <w:ind w:left="0"/>
        <w:rPr>
          <w:lang w:val="ro-RO"/>
        </w:rPr>
      </w:pPr>
      <w:r w:rsidRPr="006B415F">
        <w:rPr>
          <w:lang w:val="ro-RO"/>
        </w:rPr>
        <w:t>DIRECTIVA 96/71/CE A PARLAMENTULUI EUROPEAN ȘI A CONSILIULUI din 16 decembrie 1996 privind detașarea lucrătorilor în cadrul prestării de servicii</w:t>
      </w:r>
    </w:p>
    <w:p w14:paraId="7391E44B" w14:textId="77777777" w:rsidR="00062F66" w:rsidRPr="006B415F" w:rsidRDefault="00062F66" w:rsidP="00B562EE">
      <w:pPr>
        <w:spacing w:after="0"/>
        <w:ind w:left="0"/>
        <w:rPr>
          <w:lang w:val="ro-RO"/>
        </w:rPr>
      </w:pPr>
      <w:r w:rsidRPr="006B415F">
        <w:rPr>
          <w:lang w:val="ro-RO"/>
        </w:rPr>
        <w:t>Regulamentul (CE) nr. 2201/2003 privind competenţa, recunoaşterea şi executarea hotărârilor judecătoreşti în materie matrimonială şi în materia răspunderii părinteşti (denumit Regulamentul Bruxelles II bis)</w:t>
      </w:r>
    </w:p>
    <w:p w14:paraId="3EEFF80C" w14:textId="77777777" w:rsidR="00062F66" w:rsidRPr="006B415F" w:rsidRDefault="00062F66" w:rsidP="00B562EE">
      <w:pPr>
        <w:spacing w:after="0"/>
        <w:ind w:left="0"/>
        <w:rPr>
          <w:lang w:val="ro-RO"/>
        </w:rPr>
      </w:pPr>
      <w:r w:rsidRPr="006B415F">
        <w:rPr>
          <w:lang w:val="ro-RO"/>
        </w:rPr>
        <w:t>Regulamentul nr. (CE) 4/2009 privind competenţa, legea aplicabilă, recunoaşterea şi executarea hotărârilor şi cooperarea în materie de obligaţii de întreţinere</w:t>
      </w:r>
    </w:p>
    <w:p w14:paraId="170BC64B" w14:textId="77777777" w:rsidR="00062F66" w:rsidRPr="006B415F" w:rsidRDefault="00062F66" w:rsidP="00B562EE">
      <w:pPr>
        <w:spacing w:after="0"/>
        <w:ind w:left="0"/>
        <w:rPr>
          <w:b/>
          <w:lang w:val="ro-RO"/>
        </w:rPr>
      </w:pPr>
      <w:r w:rsidRPr="006B415F">
        <w:rPr>
          <w:b/>
          <w:lang w:val="ro-RO"/>
        </w:rPr>
        <w:t xml:space="preserve">Normele de competență privind alegerea instanței competente </w:t>
      </w:r>
      <w:r w:rsidR="00F83ED1" w:rsidRPr="006B415F">
        <w:rPr>
          <w:b/>
          <w:lang w:val="ro-RO"/>
        </w:rPr>
        <w:t xml:space="preserve">pentru proceduri judiciare inițiate înainte de terminarea perioadei de tranziție </w:t>
      </w:r>
    </w:p>
    <w:p w14:paraId="39C2EE3C" w14:textId="77777777" w:rsidR="00062F66" w:rsidRPr="006B415F" w:rsidRDefault="00062F66" w:rsidP="00B562EE">
      <w:pPr>
        <w:spacing w:after="0"/>
        <w:ind w:left="0"/>
        <w:rPr>
          <w:lang w:val="ro-RO"/>
        </w:rPr>
      </w:pPr>
      <w:r w:rsidRPr="006B415F">
        <w:rPr>
          <w:lang w:val="ro-RO"/>
        </w:rPr>
        <w:t>Art. 25 din Regulamentul (UE) nr. 1215/2012 al Parlamentului European şi al Consiliului din 12.12.2012 privind competenţa judiciară, recunoaşterea şi executarea hotărârilor în materie civilă şi comercială</w:t>
      </w:r>
    </w:p>
    <w:p w14:paraId="063A361D" w14:textId="77777777" w:rsidR="00062F66" w:rsidRPr="006B415F" w:rsidRDefault="00062F66" w:rsidP="00B562EE">
      <w:pPr>
        <w:spacing w:after="0"/>
        <w:ind w:left="0"/>
        <w:rPr>
          <w:lang w:val="ro-RO"/>
        </w:rPr>
      </w:pPr>
      <w:r w:rsidRPr="006B415F">
        <w:rPr>
          <w:lang w:val="ro-RO"/>
        </w:rPr>
        <w:t>Art. 4 din Regulamentul nr. (CE) 4/2009 privind competenţa, legea aplicabilă, recunoaşterea şi executarea hotărârilor şi cooperarea în materie de obligaţii de întreţinere</w:t>
      </w:r>
    </w:p>
    <w:p w14:paraId="023AA080" w14:textId="77777777" w:rsidR="00F83ED1" w:rsidRPr="006B415F" w:rsidRDefault="00062F66" w:rsidP="00B562EE">
      <w:pPr>
        <w:spacing w:after="0"/>
        <w:ind w:left="0"/>
        <w:rPr>
          <w:lang w:val="ro-RO"/>
        </w:rPr>
      </w:pPr>
      <w:r w:rsidRPr="006B415F">
        <w:rPr>
          <w:b/>
          <w:lang w:val="ro-RO"/>
        </w:rPr>
        <w:lastRenderedPageBreak/>
        <w:t xml:space="preserve">Normele de exequatur în ceea ce privește hotărârile judecătorești, tranzacțiile judiciare și actele autentice pronunțate, încheiate, aprobate </w:t>
      </w:r>
      <w:r w:rsidR="00F83ED1" w:rsidRPr="006B415F">
        <w:rPr>
          <w:b/>
          <w:lang w:val="ro-RO"/>
        </w:rPr>
        <w:t xml:space="preserve">înainte de terminarea perioadei de tranziție </w:t>
      </w:r>
      <w:r w:rsidR="00C54223" w:rsidRPr="006B415F">
        <w:rPr>
          <w:b/>
          <w:lang w:val="ro-RO"/>
        </w:rPr>
        <w:t>în aplicarea dispozițiilor prevăzute de</w:t>
      </w:r>
    </w:p>
    <w:p w14:paraId="1E2BF730" w14:textId="77777777" w:rsidR="00062F66" w:rsidRPr="006B415F" w:rsidRDefault="00062F66" w:rsidP="00B562EE">
      <w:pPr>
        <w:spacing w:after="0"/>
        <w:ind w:left="0"/>
        <w:rPr>
          <w:lang w:val="ro-RO"/>
        </w:rPr>
      </w:pPr>
      <w:r w:rsidRPr="006B415F">
        <w:rPr>
          <w:lang w:val="ro-RO"/>
        </w:rPr>
        <w:t>Regulamentul (UE) nr. 1215/2012 al Parlamentului European şi al Consiliului din 12.12.2012 privind competenţa judiciară, recunoaşterea şi executarea hotărârilor în materie civilă şi comercială</w:t>
      </w:r>
    </w:p>
    <w:p w14:paraId="17B6B81F" w14:textId="77777777" w:rsidR="00062F66" w:rsidRPr="006B415F" w:rsidRDefault="00062F66" w:rsidP="00B562EE">
      <w:pPr>
        <w:spacing w:after="0"/>
        <w:ind w:left="0"/>
        <w:rPr>
          <w:lang w:val="ro-RO"/>
        </w:rPr>
      </w:pPr>
      <w:r w:rsidRPr="006B415F">
        <w:rPr>
          <w:lang w:val="ro-RO"/>
        </w:rPr>
        <w:t>Regulamentul (CE) nr. 2201/2003 privind competenţa, recunoaşterea şi executarea hotărârilor judecătoreşti în materie matrimonială şi în materia răspunderii părinteşti (denumit Regulamentul Bruxelles II bis)</w:t>
      </w:r>
    </w:p>
    <w:p w14:paraId="57C232E9" w14:textId="77777777" w:rsidR="00062F66" w:rsidRPr="006B415F" w:rsidRDefault="00062F66" w:rsidP="00B562EE">
      <w:pPr>
        <w:spacing w:after="0"/>
        <w:ind w:left="0"/>
        <w:rPr>
          <w:lang w:val="ro-RO"/>
        </w:rPr>
      </w:pPr>
      <w:r w:rsidRPr="006B415F">
        <w:rPr>
          <w:lang w:val="ro-RO"/>
        </w:rPr>
        <w:t>Regulamentul nr. (CE) 4/2009 privind competenţa, legea aplicabilă, recunoaşterea şi executarea hotărârilor şi cooperarea în materie de obligaţii de întreţinere</w:t>
      </w:r>
    </w:p>
    <w:p w14:paraId="5027F095" w14:textId="77777777" w:rsidR="00062F66" w:rsidRPr="006B415F" w:rsidRDefault="00062F66" w:rsidP="00B562EE">
      <w:pPr>
        <w:spacing w:after="0"/>
        <w:ind w:left="0"/>
        <w:rPr>
          <w:lang w:val="ro-RO"/>
        </w:rPr>
      </w:pPr>
      <w:r w:rsidRPr="006B415F">
        <w:rPr>
          <w:lang w:val="ro-RO"/>
        </w:rPr>
        <w:t xml:space="preserve"> Regulamentul (CE) nr. 805/2004 al Parlamentului European și al Consiliului din 21 aprilie 2004 privind crearea unui Titlu Executoriu European pentru creanțele necontestate</w:t>
      </w:r>
    </w:p>
    <w:p w14:paraId="27455919" w14:textId="77777777" w:rsidR="00F83ED1" w:rsidRPr="006B415F" w:rsidRDefault="00F83ED1" w:rsidP="00B562EE">
      <w:pPr>
        <w:spacing w:after="0"/>
        <w:ind w:left="0"/>
        <w:rPr>
          <w:b/>
          <w:lang w:val="ro-RO"/>
        </w:rPr>
      </w:pPr>
      <w:r w:rsidRPr="006B415F">
        <w:rPr>
          <w:b/>
          <w:lang w:val="ro-RO"/>
        </w:rPr>
        <w:t xml:space="preserve">Cererile primite prin intermediul autorităților centrale sau altor autorități competente înainte de terminarea perioadei de tranziție </w:t>
      </w:r>
      <w:r w:rsidR="00C54223" w:rsidRPr="006B415F">
        <w:rPr>
          <w:b/>
          <w:lang w:val="ro-RO"/>
        </w:rPr>
        <w:t>în aplicarea dispozițiilor prevăzute de</w:t>
      </w:r>
    </w:p>
    <w:p w14:paraId="2A77ED2C" w14:textId="77777777" w:rsidR="00F83ED1" w:rsidRPr="006B415F" w:rsidRDefault="00F83ED1" w:rsidP="00B562EE">
      <w:pPr>
        <w:spacing w:after="0"/>
        <w:ind w:left="0"/>
        <w:rPr>
          <w:lang w:val="ro-RO"/>
        </w:rPr>
      </w:pPr>
      <w:r w:rsidRPr="006B415F">
        <w:rPr>
          <w:lang w:val="ro-RO"/>
        </w:rPr>
        <w:t>Cap. IV din Regulamentul (CE) nr. 2201/2003 privind competenţa, recunoaşterea şi executarea hotărârilor judecătoreşti în materie matrimonială şi în materia răspunderii părinteşti (denumit Regulamentul Bruxelles II bis)</w:t>
      </w:r>
    </w:p>
    <w:p w14:paraId="55D289B3" w14:textId="77777777" w:rsidR="00062F66" w:rsidRPr="006B415F" w:rsidRDefault="00F83ED1" w:rsidP="00B562EE">
      <w:pPr>
        <w:spacing w:after="0"/>
        <w:ind w:left="0"/>
        <w:rPr>
          <w:lang w:val="ro-RO"/>
        </w:rPr>
      </w:pPr>
      <w:r w:rsidRPr="006B415F">
        <w:rPr>
          <w:lang w:val="ro-RO"/>
        </w:rPr>
        <w:t>Cap. VII din Regulamentul nr. (CE) 4/2009 privind competenţa, legea aplicabilă, recunoaşterea şi executarea hotărârilor şi cooperarea în materie de obligaţii de întreţinere</w:t>
      </w:r>
    </w:p>
    <w:p w14:paraId="08F97445" w14:textId="77777777" w:rsidR="007F275F" w:rsidRPr="006B415F" w:rsidRDefault="00F83ED1" w:rsidP="00B562EE">
      <w:pPr>
        <w:spacing w:after="0"/>
        <w:ind w:left="0"/>
        <w:rPr>
          <w:lang w:val="ro-RO"/>
        </w:rPr>
      </w:pPr>
      <w:r w:rsidRPr="006B415F">
        <w:rPr>
          <w:lang w:val="ro-RO"/>
        </w:rPr>
        <w:t>Regulamentul (UE) nr. 2015/848 din 20.05.2015 al Parlamentului European şi al Consiliului de modificare a Regulamentului (CE) nr. 1346/2000 privind procedurile de insolvenţă</w:t>
      </w:r>
    </w:p>
    <w:p w14:paraId="64EE1F2E" w14:textId="77777777" w:rsidR="00F83ED1" w:rsidRPr="006B415F" w:rsidRDefault="00F83ED1" w:rsidP="00B562EE">
      <w:pPr>
        <w:spacing w:after="0"/>
        <w:ind w:left="0"/>
        <w:rPr>
          <w:lang w:val="ro-RO"/>
        </w:rPr>
      </w:pPr>
      <w:r w:rsidRPr="006B415F">
        <w:rPr>
          <w:lang w:val="ro-RO"/>
        </w:rPr>
        <w:t>Regulamentul (CE) nr. 861/2007 de stabilire a unei proceduri europene cu privire la cererile cu valoare redusă și Regulamentul (CE) nr. 1896/2006 de instituire a unei proceduri europene de somație de plată, ambele modificate prin Regulamentul (UE) 2015/2421 din 16.12.2015</w:t>
      </w:r>
    </w:p>
    <w:p w14:paraId="1E2F16AF" w14:textId="77777777" w:rsidR="00F83ED1" w:rsidRPr="006B415F" w:rsidRDefault="00F83ED1" w:rsidP="00B562EE">
      <w:pPr>
        <w:spacing w:after="0"/>
        <w:ind w:left="0"/>
        <w:rPr>
          <w:lang w:val="ro-RO"/>
        </w:rPr>
      </w:pPr>
      <w:r w:rsidRPr="006B415F">
        <w:rPr>
          <w:lang w:val="ro-RO"/>
        </w:rPr>
        <w:t>Regulamentul (CE) nr. 861/2007 de stabilire a unei proceduri europene cu privire la cererile cu valoare redusă și Regulamentul (CE) nr. 1896/2006 de instituire a unei proceduri europene de somație de plată, ambele modificate prin Regulamentul (UE) 2015/2421 din 16.12.2015</w:t>
      </w:r>
    </w:p>
    <w:p w14:paraId="0F85EB6E" w14:textId="77777777" w:rsidR="00062F66" w:rsidRPr="006B415F" w:rsidRDefault="00F83ED1" w:rsidP="00B562EE">
      <w:pPr>
        <w:spacing w:after="0"/>
        <w:ind w:left="0"/>
        <w:rPr>
          <w:lang w:val="ro-RO"/>
        </w:rPr>
      </w:pPr>
      <w:r w:rsidRPr="006B415F">
        <w:rPr>
          <w:lang w:val="ro-RO"/>
        </w:rPr>
        <w:t>Regulamentul (UE) 606/2013 privind recunoaşterea reciprocă a măsurilor de protecţie în materie civilă, aplicabil din 11.07.2015</w:t>
      </w:r>
    </w:p>
    <w:p w14:paraId="1FA582C0" w14:textId="77777777" w:rsidR="00104E9F" w:rsidRPr="006B415F" w:rsidRDefault="00104E9F" w:rsidP="00B562EE">
      <w:pPr>
        <w:spacing w:after="0"/>
        <w:ind w:left="0"/>
        <w:rPr>
          <w:lang w:val="ro-RO"/>
        </w:rPr>
      </w:pPr>
    </w:p>
    <w:p w14:paraId="2B95C489" w14:textId="77777777" w:rsidR="00C54223" w:rsidRPr="006B415F" w:rsidRDefault="00C54223" w:rsidP="00B562EE">
      <w:pPr>
        <w:spacing w:after="0"/>
        <w:ind w:left="0"/>
        <w:rPr>
          <w:b/>
          <w:lang w:val="ro-RO"/>
        </w:rPr>
      </w:pPr>
      <w:r w:rsidRPr="006B415F">
        <w:rPr>
          <w:b/>
          <w:u w:val="single"/>
          <w:lang w:val="ro-RO"/>
        </w:rPr>
        <w:t>Art. 64</w:t>
      </w:r>
      <w:r w:rsidRPr="006B415F">
        <w:rPr>
          <w:b/>
          <w:lang w:val="ro-RO"/>
        </w:rPr>
        <w:t xml:space="preserve"> Cererile primite prin intermediul autorităților competente înainte de terminarea perioadei de tranziție în aplicarea dispozițiilor prevăzute de</w:t>
      </w:r>
    </w:p>
    <w:p w14:paraId="2BA18BDF" w14:textId="77777777" w:rsidR="00C54223" w:rsidRPr="006B415F" w:rsidRDefault="00C54223" w:rsidP="00B562EE">
      <w:pPr>
        <w:spacing w:after="0"/>
        <w:ind w:left="0"/>
        <w:rPr>
          <w:lang w:val="ro-RO"/>
        </w:rPr>
      </w:pPr>
      <w:r w:rsidRPr="006B415F">
        <w:rPr>
          <w:lang w:val="ro-RO"/>
        </w:rPr>
        <w:t xml:space="preserve">Regulamentul (CE) nr. 1393/2007 al Parlamentului European și al Consiliului din 13 noiembrie 2007 privind notificarea sau comunicarea în statele membre a actelor judiciare și extrajudiciare în materie civilă sau comercială </w:t>
      </w:r>
    </w:p>
    <w:p w14:paraId="6F7FA427" w14:textId="77777777" w:rsidR="007F275F" w:rsidRPr="006B415F" w:rsidRDefault="00C54223" w:rsidP="00B562EE">
      <w:pPr>
        <w:spacing w:after="0"/>
        <w:ind w:left="0"/>
        <w:rPr>
          <w:lang w:val="ro-RO"/>
        </w:rPr>
      </w:pPr>
      <w:r w:rsidRPr="006B415F">
        <w:rPr>
          <w:lang w:val="ro-RO"/>
        </w:rPr>
        <w:t>Regulamentul (CE) nr. 1206/2001 al Consiliului din 28 mai 2001 privind cooperarea între instanțele statelor membre în domeniul obținerii de probe în materie civilă sau comercială</w:t>
      </w:r>
    </w:p>
    <w:p w14:paraId="0EC96A93" w14:textId="77777777" w:rsidR="00C54223" w:rsidRPr="006B415F" w:rsidRDefault="00C54223" w:rsidP="00B562EE">
      <w:pPr>
        <w:spacing w:after="0"/>
        <w:ind w:left="0"/>
        <w:rPr>
          <w:lang w:val="ro-RO"/>
        </w:rPr>
      </w:pPr>
      <w:r w:rsidRPr="006B415F">
        <w:rPr>
          <w:lang w:val="ro-RO"/>
        </w:rPr>
        <w:t>Decizia Consiliului din 28 mai 2001 de creare a unei Rețele Judiciare Europene în materie civilă și comercială</w:t>
      </w:r>
    </w:p>
    <w:p w14:paraId="600A4D5C" w14:textId="77777777" w:rsidR="00C54223" w:rsidRPr="006B415F" w:rsidRDefault="00C54223" w:rsidP="00B562EE">
      <w:pPr>
        <w:spacing w:after="0"/>
        <w:ind w:left="0"/>
        <w:rPr>
          <w:b/>
          <w:lang w:val="ro-RO"/>
        </w:rPr>
      </w:pPr>
      <w:r w:rsidRPr="006B415F">
        <w:rPr>
          <w:b/>
          <w:u w:val="single"/>
          <w:lang w:val="ro-RO"/>
        </w:rPr>
        <w:t>Art. 6</w:t>
      </w:r>
      <w:r w:rsidR="00104E9F" w:rsidRPr="006B415F">
        <w:rPr>
          <w:b/>
          <w:u w:val="single"/>
          <w:lang w:val="ro-RO"/>
        </w:rPr>
        <w:t>5</w:t>
      </w:r>
      <w:r w:rsidRPr="006B415F">
        <w:rPr>
          <w:b/>
          <w:lang w:val="ro-RO"/>
        </w:rPr>
        <w:t xml:space="preserve"> Cererile primite prin intermediul autorităților competente înainte de terminarea perioadei de tranziție în aplicarea dispozițiilor prevăzute de</w:t>
      </w:r>
    </w:p>
    <w:p w14:paraId="0646B8F6" w14:textId="77777777" w:rsidR="00C54223" w:rsidRPr="006B415F" w:rsidRDefault="00C54223" w:rsidP="00B562EE">
      <w:pPr>
        <w:spacing w:after="0"/>
        <w:ind w:left="0"/>
        <w:rPr>
          <w:lang w:val="ro-RO"/>
        </w:rPr>
      </w:pPr>
      <w:r w:rsidRPr="006B415F">
        <w:rPr>
          <w:lang w:val="ro-RO"/>
        </w:rPr>
        <w:t>Directiva nr. 8/2003 de îmbunãtãþire a accesului la justiþie în litigiile transfrontaliere prin stabilirea unor norme minime comune privind asistenþa judiciarã</w:t>
      </w:r>
    </w:p>
    <w:p w14:paraId="6232767A" w14:textId="77777777" w:rsidR="00C54223" w:rsidRPr="006B415F" w:rsidRDefault="00C54223" w:rsidP="00B562EE">
      <w:pPr>
        <w:spacing w:after="0" w:line="23" w:lineRule="atLeast"/>
        <w:ind w:left="0"/>
        <w:rPr>
          <w:lang w:val="ro-RO"/>
        </w:rPr>
      </w:pPr>
      <w:r w:rsidRPr="006B415F">
        <w:rPr>
          <w:lang w:val="ro-RO"/>
        </w:rPr>
        <w:t>DIRECTIVA 2008/52/CE A PARLAMENTULUI EUROPEAN ȘI A CONSILIULUI din 21 mai 2008 privind anumite aspecte ale medierii în materie civilă și comercială</w:t>
      </w:r>
    </w:p>
    <w:p w14:paraId="44F8209A" w14:textId="77777777" w:rsidR="00104E9F" w:rsidRPr="006B415F" w:rsidRDefault="00C54223" w:rsidP="00B562EE">
      <w:pPr>
        <w:spacing w:after="0" w:line="23" w:lineRule="atLeast"/>
        <w:ind w:left="0"/>
        <w:rPr>
          <w:lang w:val="ro-RO"/>
        </w:rPr>
      </w:pPr>
      <w:r w:rsidRPr="006B415F">
        <w:rPr>
          <w:lang w:val="ro-RO"/>
        </w:rPr>
        <w:t>DIRECTIVA 2004/80/CE A CONSILIULUI din 29 aprilie 2004 privind despăgubirea victimelor infracționalității</w:t>
      </w:r>
    </w:p>
    <w:p w14:paraId="7E079E91" w14:textId="77777777" w:rsidR="00104E9F" w:rsidRPr="006B415F" w:rsidRDefault="00104E9F" w:rsidP="00B562EE">
      <w:pPr>
        <w:spacing w:after="0" w:line="23" w:lineRule="atLeast"/>
        <w:ind w:left="0"/>
        <w:rPr>
          <w:lang w:val="ro-RO"/>
        </w:rPr>
      </w:pPr>
    </w:p>
    <w:p w14:paraId="055B0CBA" w14:textId="77777777" w:rsidR="00104E9F" w:rsidRPr="006B415F" w:rsidRDefault="00104E9F" w:rsidP="00B562EE">
      <w:pPr>
        <w:spacing w:after="0" w:line="23" w:lineRule="atLeast"/>
        <w:ind w:left="0"/>
        <w:rPr>
          <w:b/>
          <w:i/>
          <w:lang w:val="ro-RO"/>
        </w:rPr>
      </w:pPr>
      <w:r w:rsidRPr="006B415F">
        <w:rPr>
          <w:b/>
          <w:i/>
          <w:lang w:val="ro-RO"/>
        </w:rPr>
        <w:t>D</w:t>
      </w:r>
      <w:r w:rsidR="00855FEB" w:rsidRPr="006B415F">
        <w:rPr>
          <w:b/>
          <w:i/>
          <w:lang w:val="ro-RO"/>
        </w:rPr>
        <w:t>e la 01.01.2021, d</w:t>
      </w:r>
      <w:r w:rsidRPr="006B415F">
        <w:rPr>
          <w:b/>
          <w:i/>
          <w:lang w:val="ro-RO"/>
        </w:rPr>
        <w:t>upă terminarea perioadei de tranziție în relația cu U</w:t>
      </w:r>
      <w:r w:rsidR="00855FEB" w:rsidRPr="006B415F">
        <w:rPr>
          <w:b/>
          <w:i/>
          <w:lang w:val="ro-RO"/>
        </w:rPr>
        <w:t>K</w:t>
      </w:r>
      <w:r w:rsidRPr="006B415F">
        <w:rPr>
          <w:b/>
          <w:i/>
          <w:lang w:val="ro-RO"/>
        </w:rPr>
        <w:t xml:space="preserve"> se vor putea aplica, în special, Convenția de la Lugano din 2007 și convențiile conferinței de la Haga </w:t>
      </w:r>
    </w:p>
    <w:p w14:paraId="1103EC5A" w14:textId="77777777" w:rsidR="00104E9F" w:rsidRPr="006B415F" w:rsidRDefault="00104E9F" w:rsidP="00B562EE">
      <w:pPr>
        <w:numPr>
          <w:ilvl w:val="0"/>
          <w:numId w:val="14"/>
        </w:numPr>
        <w:spacing w:after="0"/>
        <w:rPr>
          <w:lang w:val="ro-RO"/>
        </w:rPr>
      </w:pPr>
      <w:r w:rsidRPr="006B415F">
        <w:rPr>
          <w:lang w:val="ro-RO"/>
        </w:rPr>
        <w:t>Convenția cu privire la competența judiciară şi la executarea hotărârilor în materie civilă şi comercială, adoptată la Lugano la 30 octombrie 2007</w:t>
      </w:r>
      <w:r w:rsidRPr="006B415F">
        <w:rPr>
          <w:vertAlign w:val="superscript"/>
          <w:lang w:val="ro-RO"/>
        </w:rPr>
        <w:footnoteReference w:id="1"/>
      </w:r>
      <w:r w:rsidRPr="006B415F">
        <w:rPr>
          <w:lang w:val="ro-RO"/>
        </w:rPr>
        <w:t xml:space="preserve"> , la care UK este parte, dar și UE (inclusiv RO)</w:t>
      </w:r>
    </w:p>
    <w:p w14:paraId="5E8EF5AF" w14:textId="77777777" w:rsidR="00104E9F" w:rsidRPr="006B415F" w:rsidRDefault="00104E9F" w:rsidP="00B562EE">
      <w:pPr>
        <w:numPr>
          <w:ilvl w:val="0"/>
          <w:numId w:val="14"/>
        </w:numPr>
        <w:spacing w:after="0"/>
        <w:rPr>
          <w:lang w:val="ro-RO"/>
        </w:rPr>
      </w:pPr>
      <w:r w:rsidRPr="006B415F">
        <w:rPr>
          <w:lang w:val="ro-RO"/>
        </w:rPr>
        <w:t>Convenția de la Haga din 30 iunie 2005 privind acordurile de alegere a forului</w:t>
      </w:r>
      <w:r w:rsidRPr="006B415F">
        <w:rPr>
          <w:vertAlign w:val="superscript"/>
          <w:lang w:val="ro-RO"/>
        </w:rPr>
        <w:footnoteReference w:id="2"/>
      </w:r>
      <w:r w:rsidRPr="006B415F">
        <w:rPr>
          <w:lang w:val="ro-RO"/>
        </w:rPr>
        <w:t>, la care UK este parte, dar și UE (inclusiv RO)</w:t>
      </w:r>
    </w:p>
    <w:p w14:paraId="2D74353C" w14:textId="77777777" w:rsidR="00104E9F" w:rsidRPr="006B415F" w:rsidRDefault="00104E9F" w:rsidP="00B562EE">
      <w:pPr>
        <w:numPr>
          <w:ilvl w:val="0"/>
          <w:numId w:val="14"/>
        </w:numPr>
        <w:spacing w:after="0"/>
        <w:rPr>
          <w:lang w:val="ro-RO"/>
        </w:rPr>
      </w:pPr>
      <w:r w:rsidRPr="006B415F">
        <w:rPr>
          <w:lang w:val="ro-RO"/>
        </w:rPr>
        <w:t>Convenția de la Roma din 1980 cu privire la legea aplicabilă obligațiilor contractuale, la care UK și RO sunt state parte</w:t>
      </w:r>
    </w:p>
    <w:p w14:paraId="5E2AFF89" w14:textId="77777777" w:rsidR="00104E9F" w:rsidRPr="006B415F" w:rsidRDefault="00104E9F" w:rsidP="00B562EE">
      <w:pPr>
        <w:numPr>
          <w:ilvl w:val="0"/>
          <w:numId w:val="14"/>
        </w:numPr>
        <w:spacing w:after="0"/>
        <w:rPr>
          <w:lang w:val="ro-RO"/>
        </w:rPr>
      </w:pPr>
      <w:r w:rsidRPr="006B415F">
        <w:rPr>
          <w:lang w:val="ro-RO"/>
        </w:rPr>
        <w:t>Convenţia privind competenţa, legea aplicabilă, recunoaşterea, executarea şi cooperarea cu privire la răspunderea părintească şi măsurile privind protecţia copiilor, adoptată la Haga la 19 octombrie 1996</w:t>
      </w:r>
      <w:r w:rsidRPr="006B415F">
        <w:rPr>
          <w:vertAlign w:val="superscript"/>
          <w:lang w:val="ro-RO"/>
        </w:rPr>
        <w:footnoteReference w:id="3"/>
      </w:r>
      <w:r w:rsidRPr="006B415F">
        <w:rPr>
          <w:lang w:val="ro-RO"/>
        </w:rPr>
        <w:t xml:space="preserve"> care desemnează două autorități centrale Ministerul Muncii</w:t>
      </w:r>
      <w:r w:rsidRPr="006B415F">
        <w:rPr>
          <w:vertAlign w:val="superscript"/>
          <w:lang w:val="ro-RO"/>
        </w:rPr>
        <w:footnoteReference w:id="4"/>
      </w:r>
      <w:r w:rsidRPr="006B415F">
        <w:rPr>
          <w:lang w:val="ro-RO"/>
        </w:rPr>
        <w:t xml:space="preserve"> și Ministerul Justitiei, la care UK și RO sunt state parte, în baza unor autorizații de semnare și ratificare emise de UE</w:t>
      </w:r>
    </w:p>
    <w:p w14:paraId="329A0236" w14:textId="77777777" w:rsidR="00104E9F" w:rsidRPr="006B415F" w:rsidRDefault="00104E9F" w:rsidP="00B562EE">
      <w:pPr>
        <w:numPr>
          <w:ilvl w:val="0"/>
          <w:numId w:val="14"/>
        </w:numPr>
        <w:spacing w:after="0"/>
        <w:rPr>
          <w:lang w:val="ro-RO"/>
        </w:rPr>
      </w:pPr>
      <w:r w:rsidRPr="006B415F">
        <w:rPr>
          <w:lang w:val="ro-RO"/>
        </w:rPr>
        <w:t>Convenţia de la Haga din 23.11.2007 privind obţinerea pensiei de întreţinere pentru copii şi alţi membri ai familie</w:t>
      </w:r>
      <w:r w:rsidRPr="006B415F">
        <w:rPr>
          <w:vertAlign w:val="superscript"/>
          <w:lang w:val="ro-RO"/>
        </w:rPr>
        <w:footnoteReference w:id="5"/>
      </w:r>
      <w:r w:rsidRPr="006B415F">
        <w:rPr>
          <w:lang w:val="ro-RO"/>
        </w:rPr>
        <w:t>, la care UK este parte, dar și UE (inclusiv RO)</w:t>
      </w:r>
    </w:p>
    <w:p w14:paraId="5953AA7B" w14:textId="77777777" w:rsidR="00104E9F" w:rsidRPr="006B415F" w:rsidRDefault="00104E9F" w:rsidP="00B562EE">
      <w:pPr>
        <w:spacing w:after="0"/>
        <w:ind w:left="720"/>
        <w:rPr>
          <w:lang w:val="ro-RO"/>
        </w:rPr>
      </w:pPr>
    </w:p>
    <w:p w14:paraId="59D32C28" w14:textId="77777777" w:rsidR="00104E9F" w:rsidRPr="006B415F" w:rsidRDefault="00104E9F" w:rsidP="00B562EE">
      <w:pPr>
        <w:spacing w:after="0"/>
        <w:rPr>
          <w:lang w:val="ro-RO"/>
        </w:rPr>
      </w:pPr>
      <w:r w:rsidRPr="006B415F">
        <w:rPr>
          <w:lang w:val="ro-RO"/>
        </w:rPr>
        <w:t>În domeniile mai jos menționate se va reveni la instrumentele Conferinței de la Haga de Drept internațional Privat, și anume:</w:t>
      </w:r>
    </w:p>
    <w:p w14:paraId="1551EA41" w14:textId="77777777" w:rsidR="00104E9F" w:rsidRPr="006B415F" w:rsidRDefault="00104E9F" w:rsidP="00B562EE">
      <w:pPr>
        <w:numPr>
          <w:ilvl w:val="0"/>
          <w:numId w:val="15"/>
        </w:numPr>
        <w:spacing w:after="0"/>
        <w:rPr>
          <w:lang w:val="ro-RO"/>
        </w:rPr>
      </w:pPr>
      <w:r w:rsidRPr="006B415F">
        <w:rPr>
          <w:lang w:val="ro-RO"/>
        </w:rPr>
        <w:t>Convenția de la Haga cu privire la aspectele civile ale răpirii internaționale de copii, 25.10.1980</w:t>
      </w:r>
    </w:p>
    <w:p w14:paraId="02946C6D" w14:textId="77777777" w:rsidR="00104E9F" w:rsidRPr="006B415F" w:rsidRDefault="00104E9F" w:rsidP="00B562EE">
      <w:pPr>
        <w:numPr>
          <w:ilvl w:val="0"/>
          <w:numId w:val="15"/>
        </w:numPr>
        <w:spacing w:after="0"/>
        <w:rPr>
          <w:lang w:val="ro-RO"/>
        </w:rPr>
      </w:pPr>
      <w:r w:rsidRPr="006B415F">
        <w:rPr>
          <w:lang w:val="ro-RO"/>
        </w:rPr>
        <w:t>Convenția privind notificarea şi comunicarea în străinătate a actelor judiciare şi extrajudiciare în materie civilă sau comercială, adoptată la Haga la 15 noiembrie 1965</w:t>
      </w:r>
    </w:p>
    <w:p w14:paraId="1310368A" w14:textId="77777777" w:rsidR="00104E9F" w:rsidRPr="006B415F" w:rsidRDefault="00104E9F" w:rsidP="00B562EE">
      <w:pPr>
        <w:numPr>
          <w:ilvl w:val="0"/>
          <w:numId w:val="15"/>
        </w:numPr>
        <w:spacing w:after="0"/>
        <w:rPr>
          <w:lang w:val="ro-RO"/>
        </w:rPr>
      </w:pPr>
      <w:r w:rsidRPr="006B415F">
        <w:rPr>
          <w:lang w:val="ro-RO"/>
        </w:rPr>
        <w:t>Convenția de la Haga din 18 martie 1970 privind obținerea de probe în străinătate în materie civilă sau comercială</w:t>
      </w:r>
    </w:p>
    <w:p w14:paraId="700914AA" w14:textId="77777777" w:rsidR="00104E9F" w:rsidRPr="006B415F" w:rsidRDefault="00104E9F" w:rsidP="00B562EE">
      <w:pPr>
        <w:numPr>
          <w:ilvl w:val="0"/>
          <w:numId w:val="15"/>
        </w:numPr>
        <w:spacing w:after="0"/>
        <w:rPr>
          <w:lang w:val="ro-RO"/>
        </w:rPr>
      </w:pPr>
      <w:r w:rsidRPr="006B415F">
        <w:rPr>
          <w:lang w:val="ro-RO"/>
        </w:rPr>
        <w:t>Conventia privind facilitarea accesului international la justitie, incheiata la Haga la 25 octombrie 1980</w:t>
      </w:r>
    </w:p>
    <w:p w14:paraId="276AA802" w14:textId="77777777" w:rsidR="00104E9F" w:rsidRPr="006B415F" w:rsidRDefault="00104E9F" w:rsidP="00B562EE">
      <w:pPr>
        <w:numPr>
          <w:ilvl w:val="0"/>
          <w:numId w:val="15"/>
        </w:numPr>
        <w:spacing w:after="0"/>
        <w:rPr>
          <w:lang w:val="ro-RO"/>
        </w:rPr>
      </w:pPr>
      <w:r w:rsidRPr="006B415F">
        <w:rPr>
          <w:lang w:val="ro-RO"/>
        </w:rPr>
        <w:lastRenderedPageBreak/>
        <w:t>Convenţia de la Haga cu privire la suprimarea cerinţei supralegalizării actelor oficiale străine, adoptată la Haga la 5 octombrie 1961</w:t>
      </w:r>
    </w:p>
    <w:p w14:paraId="41BC1E15" w14:textId="77777777" w:rsidR="00104E9F" w:rsidRPr="006B415F" w:rsidRDefault="00104E9F" w:rsidP="00B562EE">
      <w:pPr>
        <w:spacing w:after="0"/>
        <w:ind w:left="720"/>
        <w:rPr>
          <w:b/>
          <w:lang w:val="ro-RO"/>
        </w:rPr>
      </w:pPr>
    </w:p>
    <w:p w14:paraId="68DADECC" w14:textId="4CD31DDE" w:rsidR="004B42D0" w:rsidRPr="006B415F" w:rsidRDefault="006B415F" w:rsidP="00B562EE">
      <w:pPr>
        <w:spacing w:after="0"/>
        <w:ind w:left="0"/>
        <w:rPr>
          <w:b/>
          <w:lang w:val="ro-RO"/>
        </w:rPr>
      </w:pPr>
      <w:r>
        <w:rPr>
          <w:b/>
          <w:lang w:val="ro-RO"/>
        </w:rPr>
        <w:t>A</w:t>
      </w:r>
      <w:r w:rsidR="004B42D0" w:rsidRPr="006B415F">
        <w:rPr>
          <w:b/>
          <w:lang w:val="ro-RO"/>
        </w:rPr>
        <w:t>plicarea Convențiilor de la Haga din 1965 și 1970 privind comunicarea actelor și obținerea probelor pot fi semnalate următoarele situații:</w:t>
      </w:r>
    </w:p>
    <w:p w14:paraId="2FA229C7" w14:textId="77777777" w:rsidR="004B42D0" w:rsidRPr="006B415F" w:rsidRDefault="004B42D0" w:rsidP="00B562EE">
      <w:pPr>
        <w:pStyle w:val="ListParagraph"/>
        <w:numPr>
          <w:ilvl w:val="0"/>
          <w:numId w:val="16"/>
        </w:numPr>
        <w:spacing w:after="0"/>
        <w:rPr>
          <w:b/>
          <w:lang w:val="ro-RO"/>
        </w:rPr>
      </w:pPr>
      <w:r w:rsidRPr="006B415F">
        <w:rPr>
          <w:b/>
          <w:lang w:val="ro-RO"/>
        </w:rPr>
        <w:t>În ceea ce privește comunicarea actelor judiciare, după BREXIT, între UE/RO și UK se vor  aplica dispozițiile Convenției de la Haga din 15 noiembrie 1965 privind notificarea si comunicarea in străinătate a actelor judiciare si extrajudiciare in materie civila sau comerciala. În vederea accelerării soluționării cererilor ar putea fi valorificate dispozițiile art. 6 alin. 4 din Convenție de către autorități centrale ale SM ale UE, astfel încât dovada de comunicare să fie transmisă direct instanței solicitante, iar nu în mod centralizat, prin autoritățile centrale. Pentru aceasta este însă necesar ca UK să publice coordonatele instanțelor solicitante (transmițătoare) pe site-ul Conferinței de Drept Internațional Privat de la Haga.</w:t>
      </w:r>
    </w:p>
    <w:p w14:paraId="7B297FD2" w14:textId="77777777" w:rsidR="004B42D0" w:rsidRPr="006B415F" w:rsidRDefault="004B42D0" w:rsidP="00B562EE">
      <w:pPr>
        <w:pStyle w:val="ListParagraph"/>
        <w:spacing w:after="0"/>
        <w:rPr>
          <w:b/>
          <w:lang w:val="ro-RO"/>
        </w:rPr>
      </w:pPr>
    </w:p>
    <w:p w14:paraId="021994E7" w14:textId="77777777" w:rsidR="004B42D0" w:rsidRPr="006B415F" w:rsidRDefault="004B42D0" w:rsidP="00B562EE">
      <w:pPr>
        <w:pStyle w:val="ListParagraph"/>
        <w:spacing w:after="0"/>
        <w:rPr>
          <w:lang w:val="ro-RO"/>
        </w:rPr>
      </w:pPr>
      <w:r w:rsidRPr="006B415F">
        <w:rPr>
          <w:lang w:val="ro-RO"/>
        </w:rPr>
        <w:t>Convenția de la Haga din 1965 – Extras Art.. 6</w:t>
      </w:r>
    </w:p>
    <w:p w14:paraId="2A720DE7" w14:textId="77777777" w:rsidR="004B42D0" w:rsidRPr="006B415F" w:rsidRDefault="004B42D0" w:rsidP="00B562EE">
      <w:pPr>
        <w:pStyle w:val="ListParagraph"/>
        <w:spacing w:after="0"/>
        <w:rPr>
          <w:lang w:val="ro-RO"/>
        </w:rPr>
      </w:pPr>
      <w:r w:rsidRPr="006B415F">
        <w:rPr>
          <w:lang w:val="ro-RO"/>
        </w:rPr>
        <w:t>Autoritatea centrala a statului solicitat sau oricare autoritate pe care o va desemna în acest scop întocmeşte o dovada potrivit formularului-model anexat la prezenta convenţie.</w:t>
      </w:r>
    </w:p>
    <w:p w14:paraId="748C224C" w14:textId="77777777" w:rsidR="004B42D0" w:rsidRPr="006B415F" w:rsidRDefault="004B42D0" w:rsidP="00B562EE">
      <w:pPr>
        <w:pStyle w:val="ListParagraph"/>
        <w:spacing w:after="0"/>
        <w:rPr>
          <w:lang w:val="ro-RO"/>
        </w:rPr>
      </w:pPr>
      <w:r w:rsidRPr="006B415F">
        <w:rPr>
          <w:lang w:val="ro-RO"/>
        </w:rPr>
        <w:t>Dovada menţioneazã îndeplinirea cererii, indica forma, locul şi data îndeplinirii, precum şi persoana cãreia i-a fost înmânat actul. Dupã caz, aceasta precizeazã împrejurarea care ar fi împiedicat executarea. Solicitantul poate cere ca dovada care nu este întocmitã de cãtre autoritatea centrala sau de cãtre o autoritate judiciarã sa fie avizatã de cãtre una dintre aceste autoritãţi.</w:t>
      </w:r>
    </w:p>
    <w:p w14:paraId="3F0CA41D" w14:textId="77777777" w:rsidR="004B42D0" w:rsidRPr="006B415F" w:rsidRDefault="004B42D0" w:rsidP="00B562EE">
      <w:pPr>
        <w:pStyle w:val="ListParagraph"/>
        <w:spacing w:after="0"/>
        <w:rPr>
          <w:lang w:val="ro-RO"/>
        </w:rPr>
      </w:pPr>
      <w:r w:rsidRPr="006B415F">
        <w:rPr>
          <w:lang w:val="ro-RO"/>
        </w:rPr>
        <w:t>Dovada este înaintatã direct solicitantului.</w:t>
      </w:r>
    </w:p>
    <w:p w14:paraId="6300B297" w14:textId="77777777" w:rsidR="004B42D0" w:rsidRPr="006B415F" w:rsidRDefault="004B42D0" w:rsidP="00B562EE">
      <w:pPr>
        <w:spacing w:after="0"/>
        <w:ind w:left="0"/>
        <w:rPr>
          <w:lang w:val="ro-RO"/>
        </w:rPr>
      </w:pPr>
    </w:p>
    <w:p w14:paraId="2CD044B1" w14:textId="77777777" w:rsidR="004B42D0" w:rsidRPr="006B415F" w:rsidRDefault="004B42D0" w:rsidP="00B562EE">
      <w:pPr>
        <w:spacing w:after="0"/>
        <w:ind w:left="0"/>
        <w:rPr>
          <w:lang w:val="ro-RO"/>
        </w:rPr>
      </w:pPr>
      <w:r w:rsidRPr="006B415F">
        <w:rPr>
          <w:lang w:val="ro-RO"/>
        </w:rPr>
        <w:t xml:space="preserve">2. </w:t>
      </w:r>
      <w:r w:rsidRPr="006B415F">
        <w:rPr>
          <w:b/>
          <w:lang w:val="ro-RO"/>
        </w:rPr>
        <w:t>În domeniul obținerii probelor, după Brexit și după perioada prevăzută în Acordul de retragere, statele membre ale UE și România vor avea la dispoziție în relația cu UK Convenția privind obținerea de probe în străinătate în materie civilă sau comercială (adoptată la Haga la 18 martie 1970).</w:t>
      </w:r>
      <w:r w:rsidRPr="006B415F">
        <w:rPr>
          <w:lang w:val="ro-RO"/>
        </w:rPr>
        <w:t xml:space="preserve"> Convenția, aplicabilă, în prezent, în relația cu statele terțe (contractante) și DK, instituie la art. 39 alin. (4) un sistem ”închis” sau ”bilateralizat” de acceptare a intrării în vigoare între statul care a aderat și statul care declară expres că acceptă această aderare. Astfel, conform art. 39 alin. 4 din Convenție, ”aderarea nu va avea efect decât în raporturile dintre statul care a aderat şi statele contractante care vor declara că acceptă această aderare. Această declaraţie va fi depusă la Ministerul Afacerilor Externe al Olandei; acest minister va transmite, pe cale diplomatică, o copie certificată pentru conformitate fiecăruia dintre statele contractante”. Aderarea României la Convenție este ulterioară ratificării sale de către UK. Până în prezent, UK nu a acceptat aderarea României la această Convenție. În aceeași situație se pare că se află și alte SM ale UE, și anume: Malta (MT), Ungaria (HU), Croația (HR), Slovenia (SL), Lituania (LT). Concluzionând, va fi nevoie de acordul UK pentru acceptarea aderării RO/MT/HU/HR/SL/LT  la această Convenție.</w:t>
      </w:r>
    </w:p>
    <w:p w14:paraId="4CE7FB1D" w14:textId="77777777" w:rsidR="00855FEB" w:rsidRPr="006B415F" w:rsidRDefault="00855FEB" w:rsidP="00B562EE">
      <w:pPr>
        <w:spacing w:after="0"/>
        <w:ind w:left="0"/>
        <w:rPr>
          <w:b/>
          <w:highlight w:val="yellow"/>
          <w:lang w:val="ro-RO"/>
        </w:rPr>
      </w:pPr>
    </w:p>
    <w:p w14:paraId="7A9965F1" w14:textId="77777777" w:rsidR="00AC6790" w:rsidRPr="006B415F" w:rsidRDefault="00AC6790" w:rsidP="00B562EE">
      <w:pPr>
        <w:spacing w:after="0"/>
        <w:ind w:left="0"/>
        <w:rPr>
          <w:b/>
          <w:lang w:val="ro-RO"/>
        </w:rPr>
      </w:pPr>
      <w:r w:rsidRPr="006B415F">
        <w:rPr>
          <w:b/>
          <w:lang w:val="ro-RO"/>
        </w:rPr>
        <w:t>5.4.Proiectul de Convenție privind recunoașterea și executarea hotărârilor judecătorești în materie civilă și comercială, elaborat de Conferința de la Haga de Drept Internațional Privat</w:t>
      </w:r>
    </w:p>
    <w:p w14:paraId="69E8C9A8" w14:textId="77777777" w:rsidR="00C075D8" w:rsidRPr="006B415F" w:rsidRDefault="00C075D8" w:rsidP="00B562EE">
      <w:pPr>
        <w:spacing w:after="0"/>
        <w:ind w:left="0"/>
        <w:rPr>
          <w:lang w:val="ro-RO"/>
        </w:rPr>
      </w:pPr>
      <w:r w:rsidRPr="006B415F">
        <w:rPr>
          <w:lang w:val="ro-RO"/>
        </w:rPr>
        <w:t xml:space="preserve">Proiectul de Convenție continuă lucrările întreprinse de Conferința de la Haga din 1992 privind două aspecte-cheie ale dreptului internațional privat în litigiile transfrontaliere în </w:t>
      </w:r>
      <w:r w:rsidRPr="006B415F">
        <w:rPr>
          <w:lang w:val="ro-RO"/>
        </w:rPr>
        <w:lastRenderedPageBreak/>
        <w:t>materie civilă și comercială: competența internațională a instanțelor și recunoașterea și executarea hotărârilor lor în străinătate.</w:t>
      </w:r>
    </w:p>
    <w:p w14:paraId="228D1CA8" w14:textId="77777777" w:rsidR="00C075D8" w:rsidRPr="006B415F" w:rsidRDefault="00C075D8" w:rsidP="00B562EE">
      <w:pPr>
        <w:spacing w:after="0"/>
        <w:ind w:left="0"/>
        <w:rPr>
          <w:lang w:val="ro-RO"/>
        </w:rPr>
      </w:pPr>
      <w:r w:rsidRPr="006B415F">
        <w:rPr>
          <w:lang w:val="ro-RO"/>
        </w:rPr>
        <w:t>Inițial, proiectul s-a axat pe elaborarea unei convenții generale, care a fost ulterior redusă la acordurile de alegere a instanței (prorogarea voluntară de competență). Aceasta a condus la încheierea Convenției de la Haga din 30 iunie 2005 privind acordurile referitoare la alegerea forului.</w:t>
      </w:r>
    </w:p>
    <w:p w14:paraId="1A911EB8" w14:textId="77777777" w:rsidR="00C075D8" w:rsidRPr="006B415F" w:rsidRDefault="00C075D8" w:rsidP="00B562EE">
      <w:pPr>
        <w:spacing w:after="0"/>
        <w:ind w:left="0"/>
        <w:rPr>
          <w:lang w:val="ro-RO"/>
        </w:rPr>
      </w:pPr>
      <w:r w:rsidRPr="006B415F">
        <w:rPr>
          <w:lang w:val="ro-RO"/>
        </w:rPr>
        <w:t>În cadrul reuniunii din 2012, Consiliul pentru Afaceri Generale și Politică al CDIPH a decis:</w:t>
      </w:r>
    </w:p>
    <w:p w14:paraId="4C542979" w14:textId="6CD86A72" w:rsidR="00C075D8" w:rsidRPr="006B415F" w:rsidRDefault="00C075D8" w:rsidP="00B562EE">
      <w:pPr>
        <w:spacing w:after="0"/>
        <w:ind w:left="0"/>
        <w:rPr>
          <w:lang w:val="ro-RO"/>
        </w:rPr>
      </w:pPr>
      <w:r w:rsidRPr="006B415F">
        <w:rPr>
          <w:lang w:val="ro-RO"/>
        </w:rPr>
        <w:t xml:space="preserve">- să înființeze un grup de lucru pentru elaborarea unei propuneri de instrument privind recunoașterea și executarea hotărârilor judecătorești (exequatur) și </w:t>
      </w:r>
    </w:p>
    <w:p w14:paraId="53C7DC60" w14:textId="22D8A902" w:rsidR="00C075D8" w:rsidRPr="006B415F" w:rsidRDefault="00C075D8" w:rsidP="00B562EE">
      <w:pPr>
        <w:spacing w:after="0"/>
        <w:ind w:left="0"/>
        <w:rPr>
          <w:lang w:val="ro-RO"/>
        </w:rPr>
      </w:pPr>
      <w:r w:rsidRPr="006B415F">
        <w:rPr>
          <w:lang w:val="ro-RO"/>
        </w:rPr>
        <w:t>-</w:t>
      </w:r>
      <w:r w:rsidR="006B415F">
        <w:rPr>
          <w:lang w:val="ro-RO"/>
        </w:rPr>
        <w:t xml:space="preserve"> </w:t>
      </w:r>
      <w:r w:rsidRPr="006B415F">
        <w:rPr>
          <w:lang w:val="ro-RO"/>
        </w:rPr>
        <w:t>stabilească un grup de experți care să ia în considerare necesitatea și fezabilitatea elaborării unor norme de competență jurisdicțională (inclusiv în cazul procedurilor paralele) sau un alt instrument viitor și să facă recomandări cu privire la aceste aspecte. De fapt, normele de competență jurisdicțională directă au constituit obstacolul care a făcut ca proiectul să nu reușească (din cauza opoziției SUA) în anii 1990.</w:t>
      </w:r>
    </w:p>
    <w:p w14:paraId="78B4417E" w14:textId="3B805B0D" w:rsidR="00C075D8" w:rsidRPr="006B415F" w:rsidRDefault="00C075D8" w:rsidP="00B562EE">
      <w:pPr>
        <w:spacing w:after="0"/>
        <w:ind w:left="0"/>
        <w:rPr>
          <w:lang w:val="ro-RO"/>
        </w:rPr>
      </w:pPr>
      <w:r w:rsidRPr="006B415F">
        <w:rPr>
          <w:lang w:val="ro-RO"/>
        </w:rPr>
        <w:t>Prima reuniune a grupului de lucru a avut loc la Haga în perioada 18-20.02.2013 și prima reuniune a Grupului de experți în perioada 21-23.02.2013. În timp ce grupul de lucru</w:t>
      </w:r>
      <w:r w:rsidR="006B415F">
        <w:rPr>
          <w:lang w:val="ro-RO"/>
        </w:rPr>
        <w:t xml:space="preserve"> </w:t>
      </w:r>
      <w:r w:rsidRPr="006B415F">
        <w:rPr>
          <w:lang w:val="ro-RO"/>
        </w:rPr>
        <w:t xml:space="preserve">a continuat să se întâlnească și, în octombrie 2015, a finalizat proiectul de text al Convenției,  grupul de experți nu s-a mai reunit. </w:t>
      </w:r>
    </w:p>
    <w:p w14:paraId="3641839F" w14:textId="77777777" w:rsidR="00C075D8" w:rsidRPr="006B415F" w:rsidRDefault="00C075D8" w:rsidP="00B562EE">
      <w:pPr>
        <w:spacing w:after="0"/>
        <w:ind w:left="0"/>
        <w:rPr>
          <w:lang w:val="ro-RO"/>
        </w:rPr>
      </w:pPr>
      <w:r w:rsidRPr="006B415F">
        <w:rPr>
          <w:lang w:val="ro-RO"/>
        </w:rPr>
        <w:t xml:space="preserve">În 2015, Consiliul Afaceri Generale și Politică a decis să înființeze o Comisie specială care să elaboreze proiectul de Convenție, iar, în ceea ce privește normele de competență jurisdicțională, Consiliul a aprobat recomandarea grupului de lucru referitoare la competența directă (inclusiv normele de competență exorbitante, litispendență, declinare etc.) și anume aceea că acestea ar trebui să fie examinate în cadrul unui grup de experți care să elaboreze un instrument distinct. </w:t>
      </w:r>
    </w:p>
    <w:p w14:paraId="0A63468D" w14:textId="2E92D373" w:rsidR="00C075D8" w:rsidRPr="006B415F" w:rsidRDefault="00C075D8" w:rsidP="00B562EE">
      <w:pPr>
        <w:spacing w:after="0"/>
        <w:ind w:left="0"/>
        <w:rPr>
          <w:lang w:val="ro-RO"/>
        </w:rPr>
      </w:pPr>
      <w:r w:rsidRPr="006B415F">
        <w:rPr>
          <w:lang w:val="ro-RO"/>
        </w:rPr>
        <w:t>La 27 mai 2016, Consiliul a adoptat un mandat</w:t>
      </w:r>
      <w:r w:rsidR="005B29BB">
        <w:rPr>
          <w:lang w:val="ro-RO"/>
        </w:rPr>
        <w:t xml:space="preserve"> pentru negocierile Convenției</w:t>
      </w:r>
      <w:r w:rsidRPr="006B415F">
        <w:rPr>
          <w:lang w:val="ro-RO"/>
        </w:rPr>
        <w:t>. Documentele de poziție coordonate foarte detaliate ale UE sunt pregătite de grupul de lucru pentru probleme de drept civil (afaceri generale) și în cadrul reuniunilor de coordonare pentru fiecare dintre etapele negocierilor.</w:t>
      </w:r>
    </w:p>
    <w:p w14:paraId="1D965642" w14:textId="77777777" w:rsidR="00C075D8" w:rsidRPr="006B415F" w:rsidRDefault="00C075D8" w:rsidP="00B562EE">
      <w:pPr>
        <w:spacing w:after="0"/>
        <w:ind w:left="0"/>
        <w:rPr>
          <w:lang w:val="ro-RO"/>
        </w:rPr>
      </w:pPr>
      <w:r w:rsidRPr="006B415F">
        <w:rPr>
          <w:lang w:val="ro-RO"/>
        </w:rPr>
        <w:t xml:space="preserve">Prima întâlnire a Comisiei speciale a avut loc în iunie 2016, urmată de o a doua reuniune în februarie 2017 și o a treia reuniune, în noiembrie 2017. Cea de-a patra întâlnire a avut loc în perioada 24-29.05.2018. </w:t>
      </w:r>
    </w:p>
    <w:p w14:paraId="306407E2" w14:textId="77777777" w:rsidR="00C075D8" w:rsidRPr="006B415F" w:rsidRDefault="00C075D8" w:rsidP="00B562EE">
      <w:pPr>
        <w:spacing w:after="0"/>
        <w:ind w:left="0"/>
        <w:rPr>
          <w:lang w:val="ro-RO"/>
        </w:rPr>
      </w:pPr>
      <w:r w:rsidRPr="006B415F">
        <w:rPr>
          <w:lang w:val="ro-RO"/>
        </w:rPr>
        <w:t xml:space="preserve">La nivelul UE, din 10.01.2015, se aplică Regulamentul (UE) nr. 1215/2012 al Parlamentului European și al Consiliului din 12.12.2012 privind competența judiciară, recunoașterea și executarea hotărârilor în materie civilă și comercială (Regulamentul Bruxelles I bis-RBI bis). </w:t>
      </w:r>
    </w:p>
    <w:p w14:paraId="088F2606" w14:textId="77777777" w:rsidR="00C075D8" w:rsidRPr="006B415F" w:rsidRDefault="00C075D8" w:rsidP="00B562EE">
      <w:pPr>
        <w:spacing w:after="0"/>
        <w:ind w:left="0"/>
        <w:rPr>
          <w:lang w:val="ro-RO"/>
        </w:rPr>
      </w:pPr>
      <w:r w:rsidRPr="006B415F">
        <w:rPr>
          <w:lang w:val="ro-RO"/>
        </w:rPr>
        <w:t>În domeniul cooperării judiciare internaționale, UE are atât competență exclusivă în ceea ce privește elaborarea normelor interne la nivelul UE (dobândită prin Tratatul de la Amsterdam),  cât și externă în domeniul negocierii și încheierii tratatelor internaționale care conțin norme de drept internațional privat (dobândită inițial pe cale jurisprudențială-Avizul nr. 1/2003 Lugano și, ulterior, prin TFUE de la Lisabona).</w:t>
      </w:r>
    </w:p>
    <w:p w14:paraId="76B25B24" w14:textId="51C6B100" w:rsidR="00C075D8" w:rsidRPr="006B415F" w:rsidRDefault="00C075D8" w:rsidP="00B562EE">
      <w:pPr>
        <w:spacing w:after="0"/>
        <w:ind w:left="0"/>
        <w:rPr>
          <w:lang w:val="ro-RO"/>
        </w:rPr>
      </w:pPr>
      <w:r w:rsidRPr="006B415F">
        <w:rPr>
          <w:lang w:val="ro-RO"/>
        </w:rPr>
        <w:t>În relația cu statele nemembre ale UE, EFTA (Norvegia, Islanda și Elveția) se aplică Convenția de la Lugano din 30.10.2007 privind competența judiciară, recunoașterea și executarea hotărârilor în materie civilă și comercială. Aceasta instituie o procedură simplificată de exequatur. Convenția de la Lugano a intrat în vigoare din 01.01.2010, fiind ratificată de UE în numele statelor membre. Aceasta se aplică de SM ale UE (inclusiv Danemarca) și următoarele state terțe: Norvegia, Islanda, Elveția</w:t>
      </w:r>
      <w:r w:rsidR="005B29BB">
        <w:rPr>
          <w:lang w:val="ro-RO"/>
        </w:rPr>
        <w:t>.</w:t>
      </w:r>
    </w:p>
    <w:p w14:paraId="335F5F4D" w14:textId="77777777" w:rsidR="00C075D8" w:rsidRPr="006B415F" w:rsidRDefault="00C075D8" w:rsidP="00B562EE">
      <w:pPr>
        <w:spacing w:after="0"/>
        <w:ind w:left="0"/>
        <w:rPr>
          <w:lang w:val="ro-RO"/>
        </w:rPr>
      </w:pPr>
      <w:r w:rsidRPr="006B415F">
        <w:rPr>
          <w:lang w:val="ro-RO"/>
        </w:rPr>
        <w:t xml:space="preserve">Instrumentele sus-menționate conțin norme de competență jurisdicțională directă a căror respectare se află la originea simplificării și, după caz, suprimării procedurii de exequatur. </w:t>
      </w:r>
    </w:p>
    <w:p w14:paraId="6CD7E41D" w14:textId="77777777" w:rsidR="00C075D8" w:rsidRPr="006B415F" w:rsidRDefault="00C075D8" w:rsidP="00B562EE">
      <w:pPr>
        <w:spacing w:after="0"/>
        <w:ind w:left="0"/>
        <w:rPr>
          <w:lang w:val="ro-RO"/>
        </w:rPr>
      </w:pPr>
      <w:r w:rsidRPr="006B415F">
        <w:rPr>
          <w:lang w:val="ro-RO"/>
        </w:rPr>
        <w:lastRenderedPageBreak/>
        <w:t>La nivel global, singurul instrument care conține norme directe de competență jurisdicțională este Convenția de la Haga din 30.06.2005 privind acordurile de alegere a forului, ratificată de UE în numele statelor membre ale UE. Convenția este limitată la normele de prorogare voluntară de competență. Convenția este în vigoare și se aplică între UE și statele contractante (Mexic și Singapore), începând din 01.10.2015.</w:t>
      </w:r>
    </w:p>
    <w:p w14:paraId="31570FE4" w14:textId="77777777" w:rsidR="00C075D8" w:rsidRPr="005B29BB" w:rsidRDefault="00C075D8" w:rsidP="00B562EE">
      <w:pPr>
        <w:spacing w:after="0"/>
        <w:ind w:left="0"/>
        <w:rPr>
          <w:b/>
          <w:lang w:val="ro-RO"/>
        </w:rPr>
      </w:pPr>
      <w:r w:rsidRPr="005B29BB">
        <w:rPr>
          <w:b/>
          <w:lang w:val="ro-RO"/>
        </w:rPr>
        <w:t xml:space="preserve">Proiectul de Convenție care face obiectul negocierilor de la Haga conține dispoziții privind domeniul de aplicare; motive de recunoaștere și încuviințare a executării (exequatur) care reprezintă, de fapt, temeiuri indirecte de competență jurisdicțională de drept internațional privat, care vor fi verificate în procedura de exequatur; motive de refuz de recunoaștere și încuviințare a executării (exequatur); actele necesare care trebuie anexate cererii de exequatur; posibilitatea recunoașterii și încuviințării executării hotărârilor conform dreptului intern  etc. </w:t>
      </w:r>
    </w:p>
    <w:p w14:paraId="74097245" w14:textId="77777777" w:rsidR="00C075D8" w:rsidRPr="006B415F" w:rsidRDefault="00C075D8" w:rsidP="00B562EE">
      <w:pPr>
        <w:spacing w:after="0"/>
        <w:ind w:left="0"/>
        <w:rPr>
          <w:lang w:val="ro-RO"/>
        </w:rPr>
      </w:pPr>
      <w:r w:rsidRPr="006B415F">
        <w:rPr>
          <w:lang w:val="ro-RO"/>
        </w:rPr>
        <w:t>Proiectul de convenție va reprezenta un instrument suplimentar și complementar pentru Regulamentul Bruxelles I la nivelul UE, pentru Convenția de la Lugano și pentru Convenția privind alegerea forului din 2005.</w:t>
      </w:r>
    </w:p>
    <w:p w14:paraId="2971B61B" w14:textId="77777777" w:rsidR="00C075D8" w:rsidRPr="006B415F" w:rsidRDefault="00C075D8" w:rsidP="00B562EE">
      <w:pPr>
        <w:spacing w:after="0"/>
        <w:ind w:left="0"/>
        <w:rPr>
          <w:lang w:val="ro-RO"/>
        </w:rPr>
      </w:pPr>
      <w:r w:rsidRPr="006B415F">
        <w:rPr>
          <w:lang w:val="ro-RO"/>
        </w:rPr>
        <w:t>Proiectul de convenție are ca obiectiv principal promovarea comerțului internațional, a investițiilor și a mobilității prin intermediul cooperării judiciare consolidate. Această cooperare va promova accesul la justiție și va reduce costurile și riscurile asociate tranzacțiilor transfrontaliere, într-o lume globalizată și interconectată. Aceste obiective vor fi atinse în mai multe modalități:</w:t>
      </w:r>
    </w:p>
    <w:p w14:paraId="0A63F929" w14:textId="77777777" w:rsidR="00C075D8" w:rsidRPr="006B415F" w:rsidRDefault="00C075D8" w:rsidP="00B562EE">
      <w:pPr>
        <w:spacing w:after="0"/>
        <w:ind w:left="0"/>
        <w:rPr>
          <w:lang w:val="ro-RO"/>
        </w:rPr>
      </w:pPr>
      <w:r w:rsidRPr="006B415F">
        <w:rPr>
          <w:lang w:val="ro-RO"/>
        </w:rPr>
        <w:t xml:space="preserve">În primul rând și cel mai important, o hotărâre judecătorească va putea fi recunoscută și executată în toate statele contractante, asigurând creditorului accesul la justiție. </w:t>
      </w:r>
    </w:p>
    <w:p w14:paraId="385A5B15" w14:textId="77777777" w:rsidR="00C075D8" w:rsidRPr="006B415F" w:rsidRDefault="00C075D8" w:rsidP="00B562EE">
      <w:pPr>
        <w:spacing w:after="0"/>
        <w:ind w:left="0"/>
        <w:rPr>
          <w:lang w:val="ro-RO"/>
        </w:rPr>
      </w:pPr>
      <w:r w:rsidRPr="006B415F">
        <w:rPr>
          <w:lang w:val="ro-RO"/>
        </w:rPr>
        <w:t>În al doilea rând, se va reduce posibilitatea dublării procedurilor  paralele în două sau mai multe state contractante, întrucât în statul de executare instanța de exequatur nu va putea revizui fondul.</w:t>
      </w:r>
    </w:p>
    <w:p w14:paraId="7D650F83" w14:textId="77777777" w:rsidR="00C075D8" w:rsidRPr="006B415F" w:rsidRDefault="00C075D8" w:rsidP="00B562EE">
      <w:pPr>
        <w:spacing w:after="0"/>
        <w:ind w:left="0"/>
        <w:rPr>
          <w:lang w:val="ro-RO"/>
        </w:rPr>
      </w:pPr>
      <w:r w:rsidRPr="006B415F">
        <w:rPr>
          <w:lang w:val="ro-RO"/>
        </w:rPr>
        <w:t>În al treilea rând, se vor reduce costurile și termenele necesare recunoașterii și executării hotărârilor judecătorești.</w:t>
      </w:r>
    </w:p>
    <w:p w14:paraId="29112175" w14:textId="77777777" w:rsidR="00C075D8" w:rsidRPr="006B415F" w:rsidRDefault="00C075D8" w:rsidP="00B562EE">
      <w:pPr>
        <w:spacing w:after="0"/>
        <w:ind w:left="0"/>
        <w:rPr>
          <w:lang w:val="ro-RO"/>
        </w:rPr>
      </w:pPr>
      <w:r w:rsidRPr="006B415F">
        <w:rPr>
          <w:lang w:val="ro-RO"/>
        </w:rPr>
        <w:t>În al patrulea rând, aceasta va îmbunătăți predictibilitatea legii: persoanele fizice și persoanele juridice din statele contractante vor putea cunoaște circumstanțele în care hotărârile vor circula între aceste state.</w:t>
      </w:r>
    </w:p>
    <w:p w14:paraId="113D4B91" w14:textId="77777777" w:rsidR="00AC6790" w:rsidRPr="006B415F" w:rsidRDefault="00C075D8" w:rsidP="00B562EE">
      <w:pPr>
        <w:spacing w:after="0"/>
        <w:ind w:left="0"/>
        <w:rPr>
          <w:lang w:val="ro-RO"/>
        </w:rPr>
      </w:pPr>
      <w:r w:rsidRPr="006B415F">
        <w:rPr>
          <w:lang w:val="ro-RO"/>
        </w:rPr>
        <w:t xml:space="preserve">În al cincilea rând, Convenția va permite reclamanților să aleagă în cunoștință de cauză statul în care să inițieze procedurile, luând în considerare posibilitatea de a executa hotărârea în celelalte state contractante.  </w:t>
      </w:r>
    </w:p>
    <w:p w14:paraId="50732DD5" w14:textId="77777777" w:rsidR="00C075D8" w:rsidRPr="006B415F" w:rsidRDefault="00C075D8" w:rsidP="00B562EE">
      <w:pPr>
        <w:spacing w:after="0"/>
        <w:ind w:left="0"/>
        <w:rPr>
          <w:lang w:val="ro-RO"/>
        </w:rPr>
      </w:pPr>
      <w:r w:rsidRPr="006B415F">
        <w:rPr>
          <w:lang w:val="ro-RO"/>
        </w:rPr>
        <w:t>Pentru pregătirea sesiunii diplomatice s-au înființat mai multe grupuri de lucru, informale,  privind anumite teme, și anume: (1) proprietatea intelectuală (Comisia UE, UK, NL, FR, HU); (2) instanțe comune (Comisia UE, UK, DE); (3) relația cu alte instrumente (Comisia UE, FR, UK); (4) declarații cu privire la hotărârile judecătorești care privesc guvernele/statele (Comisia UE, FR); (5) posibila excludere a domeniului concurenței neloiale (anti-trust) (Comisia UE, FR, UK).</w:t>
      </w:r>
    </w:p>
    <w:p w14:paraId="65F053FF" w14:textId="77777777" w:rsidR="00C075D8" w:rsidRPr="006B415F" w:rsidRDefault="00C075D8" w:rsidP="00B562EE">
      <w:pPr>
        <w:spacing w:after="0"/>
        <w:ind w:left="0"/>
        <w:rPr>
          <w:lang w:val="ro-RO"/>
        </w:rPr>
      </w:pPr>
    </w:p>
    <w:p w14:paraId="6037E68C" w14:textId="39B37E62" w:rsidR="0097455E" w:rsidRPr="006B415F" w:rsidRDefault="0097455E" w:rsidP="00B562EE">
      <w:pPr>
        <w:pStyle w:val="ListParagraph"/>
        <w:spacing w:after="0"/>
        <w:ind w:left="0" w:right="567"/>
        <w:rPr>
          <w:b/>
          <w:lang w:val="ro-RO"/>
        </w:rPr>
      </w:pPr>
    </w:p>
    <w:sectPr w:rsidR="0097455E" w:rsidRPr="006B415F" w:rsidSect="00E80D5E">
      <w:headerReference w:type="default" r:id="rId8"/>
      <w:footerReference w:type="default" r:id="rId9"/>
      <w:headerReference w:type="first" r:id="rId10"/>
      <w:footerReference w:type="first" r:id="rId11"/>
      <w:pgSz w:w="11900" w:h="16840"/>
      <w:pgMar w:top="1418" w:right="567" w:bottom="1418" w:left="2268" w:header="567"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4AC71" w14:textId="77777777" w:rsidR="00E43727" w:rsidRDefault="00E43727" w:rsidP="00CD5B3B">
      <w:r>
        <w:separator/>
      </w:r>
    </w:p>
  </w:endnote>
  <w:endnote w:type="continuationSeparator" w:id="0">
    <w:p w14:paraId="1D459DE1" w14:textId="77777777" w:rsidR="00E43727" w:rsidRDefault="00E4372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Founder Extended)">
    <w:altName w:val="Microsoft YaHei"/>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025C" w14:textId="77777777" w:rsidR="00E80D5E" w:rsidRPr="00763EB6" w:rsidRDefault="00E80D5E" w:rsidP="00E80D5E">
    <w:pPr>
      <w:pStyle w:val="Footer"/>
      <w:ind w:left="0"/>
      <w:rPr>
        <w:sz w:val="14"/>
        <w:szCs w:val="1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961B" w14:textId="77777777" w:rsidR="00E80D5E" w:rsidRPr="00763EB6" w:rsidRDefault="00E80D5E" w:rsidP="00036CF6">
    <w:pPr>
      <w:pStyle w:val="Footer"/>
      <w:ind w:left="0"/>
      <w:rPr>
        <w:sz w:val="14"/>
        <w:szCs w:val="1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B10A" w14:textId="77777777" w:rsidR="00E43727" w:rsidRDefault="00E43727" w:rsidP="00CD5B3B">
      <w:r>
        <w:separator/>
      </w:r>
    </w:p>
  </w:footnote>
  <w:footnote w:type="continuationSeparator" w:id="0">
    <w:p w14:paraId="0528D0A2" w14:textId="77777777" w:rsidR="00E43727" w:rsidRDefault="00E43727" w:rsidP="00CD5B3B">
      <w:r>
        <w:continuationSeparator/>
      </w:r>
    </w:p>
  </w:footnote>
  <w:footnote w:id="1">
    <w:p w14:paraId="2EAA8E09" w14:textId="77777777" w:rsidR="00104E9F" w:rsidRPr="00B562EE" w:rsidRDefault="00104E9F" w:rsidP="00B562EE">
      <w:pPr>
        <w:pStyle w:val="FootnoteText"/>
        <w:ind w:left="0"/>
        <w:rPr>
          <w:sz w:val="16"/>
          <w:szCs w:val="16"/>
          <w:lang w:val="ro-RO"/>
        </w:rPr>
      </w:pPr>
      <w:r w:rsidRPr="00B562EE">
        <w:rPr>
          <w:rStyle w:val="FootnoteReference"/>
          <w:sz w:val="16"/>
          <w:szCs w:val="16"/>
          <w:lang w:val="ro-RO"/>
        </w:rPr>
        <w:footnoteRef/>
      </w:r>
      <w:r w:rsidRPr="00B562EE">
        <w:rPr>
          <w:sz w:val="16"/>
          <w:szCs w:val="16"/>
          <w:lang w:val="ro-RO"/>
        </w:rPr>
        <w:t xml:space="preserve"> Prin Decizia Consiliului nr. 2007/712/EC din 15.10.2007 a fost aprobată semnarea, în numele C.E., a Convenţiei de la Lugano din 2007. Convenţia de la Lugano din 2007 a fost semnată la 30.10.2007 de către Islanda, Norvegia şi Elveția, precum şi de către C.E., în numele statelor membre ale C.E., care şi-a exercitat competenţa exclusivă în acest domeniu. Prin Decizia Consiliului UE nr. 2009/430/EC din 27.11.2008 a fost aprobată ratificarea, în numele C.E., a Convenţiei de la Lugano din 2007 şi a fost stabilit conţinutul declaraţiei care a fost făcută cu ocazia depunerii instrumentului de ratificare.  Instrumentul din 27.11.2008 de aprobare a Convenţiei de la Lugano din 2007 a fost depus la 18.05.2009, la Misiunea Elveţiei pe lângă UE, de către Secretarul General al C.E., în numele statelor membre ale C.E. </w:t>
      </w:r>
    </w:p>
    <w:p w14:paraId="6017CA9B" w14:textId="77777777" w:rsidR="00104E9F" w:rsidRPr="00B562EE" w:rsidRDefault="00104E9F" w:rsidP="00B562EE">
      <w:pPr>
        <w:pStyle w:val="FootnoteText"/>
        <w:ind w:left="0"/>
        <w:rPr>
          <w:sz w:val="16"/>
          <w:szCs w:val="16"/>
          <w:lang w:val="ro-RO"/>
        </w:rPr>
      </w:pPr>
      <w:r w:rsidRPr="00B562EE">
        <w:rPr>
          <w:sz w:val="16"/>
          <w:szCs w:val="16"/>
          <w:lang w:val="ro-RO"/>
        </w:rPr>
        <w:t>Regatul Norvegiei (state terţ A.E.L.S. - nemembru al UE) a depus instrumentul de ratificare la data de 01.07.2009. Astfel, Convenţia de la Lugano din 2007 a intrat în vigoare, conform art. 69 alin. 4, la data de 01.01.2010, dată care reprezintă prima zi a celei de-a şasea luni care urmează datei la care C.E. şi un stat membru al A.E.L.S. îşi depun instrumentele de ratificare.</w:t>
      </w:r>
    </w:p>
  </w:footnote>
  <w:footnote w:id="2">
    <w:p w14:paraId="0BC48643" w14:textId="77777777" w:rsidR="00104E9F" w:rsidRPr="00B562EE" w:rsidRDefault="00104E9F" w:rsidP="00B562EE">
      <w:pPr>
        <w:pStyle w:val="FootnoteText"/>
        <w:ind w:left="0"/>
        <w:rPr>
          <w:sz w:val="16"/>
          <w:szCs w:val="16"/>
          <w:lang w:val="ro-RO"/>
        </w:rPr>
      </w:pPr>
      <w:r w:rsidRPr="00B562EE">
        <w:rPr>
          <w:rStyle w:val="FootnoteReference"/>
          <w:sz w:val="16"/>
          <w:szCs w:val="16"/>
          <w:lang w:val="ro-RO"/>
        </w:rPr>
        <w:footnoteRef/>
      </w:r>
      <w:r w:rsidRPr="00B562EE">
        <w:rPr>
          <w:sz w:val="16"/>
          <w:szCs w:val="16"/>
          <w:lang w:val="ro-RO"/>
        </w:rPr>
        <w:t xml:space="preserve"> semnată, respectiv aprobată de către UE în numele SM ale UE prin Decizia 2009/397/CE a Consiliului din 26.02.2009, respectiv Decizia Consiliului 2014/887/UE din 04.12.2014 cu privire la aprobarea, în numele UE.</w:t>
      </w:r>
    </w:p>
  </w:footnote>
  <w:footnote w:id="3">
    <w:p w14:paraId="0D5F65AD" w14:textId="77777777" w:rsidR="00104E9F" w:rsidRPr="00B562EE" w:rsidRDefault="00104E9F" w:rsidP="00B562EE">
      <w:pPr>
        <w:pStyle w:val="FootnoteText"/>
        <w:ind w:left="0"/>
        <w:rPr>
          <w:sz w:val="16"/>
          <w:szCs w:val="16"/>
          <w:lang w:val="ro-RO"/>
        </w:rPr>
      </w:pPr>
      <w:r w:rsidRPr="00B562EE">
        <w:rPr>
          <w:rStyle w:val="FootnoteReference"/>
          <w:sz w:val="16"/>
          <w:szCs w:val="16"/>
          <w:lang w:val="ro-RO"/>
        </w:rPr>
        <w:footnoteRef/>
      </w:r>
      <w:r w:rsidRPr="00B562EE">
        <w:rPr>
          <w:sz w:val="16"/>
          <w:szCs w:val="16"/>
          <w:lang w:val="ro-RO"/>
        </w:rPr>
        <w:t xml:space="preserve"> Prin Decizia 2003/93/CE a Consiliului din 19.12.2002 a autorizat statele membre să semneze convenția în interesul Comunității, state membre ale Comunității la momentul respectiv. Acestea au semnat convenția la 1 aprilie 2003, cu excepția Țărilor de Jos, care o semnaseră deja anterior. </w:t>
      </w:r>
    </w:p>
    <w:p w14:paraId="1FCC4D34" w14:textId="77777777" w:rsidR="00104E9F" w:rsidRPr="00B562EE" w:rsidRDefault="00104E9F" w:rsidP="00B562EE">
      <w:pPr>
        <w:pStyle w:val="FootnoteText"/>
        <w:ind w:left="0"/>
        <w:rPr>
          <w:sz w:val="16"/>
          <w:szCs w:val="16"/>
          <w:lang w:val="ro-RO"/>
        </w:rPr>
      </w:pPr>
      <w:r w:rsidRPr="00B562EE">
        <w:rPr>
          <w:sz w:val="16"/>
          <w:szCs w:val="16"/>
          <w:lang w:val="ro-RO"/>
        </w:rPr>
        <w:t xml:space="preserve">Prin Decizia Consiliului din 05.06.2008 au fost autorizate anumite state membre în vederea ratificării sau a aderării la Convenția de la Haga din 1996, în interesul Comunității Europene și în vederea efectuării unei declarații privind aplicarea normelor interne relevante de drept comunitar (2008/431/CE). </w:t>
      </w:r>
    </w:p>
  </w:footnote>
  <w:footnote w:id="4">
    <w:p w14:paraId="7BBA95EF" w14:textId="77777777" w:rsidR="00104E9F" w:rsidRPr="00B562EE" w:rsidRDefault="00104E9F" w:rsidP="00B562EE">
      <w:pPr>
        <w:pStyle w:val="FootnoteText"/>
        <w:ind w:left="0"/>
        <w:rPr>
          <w:sz w:val="16"/>
          <w:szCs w:val="16"/>
          <w:lang w:val="ro-RO"/>
        </w:rPr>
      </w:pPr>
      <w:r w:rsidRPr="00B562EE">
        <w:rPr>
          <w:rStyle w:val="FootnoteReference"/>
          <w:sz w:val="16"/>
          <w:szCs w:val="16"/>
          <w:lang w:val="ro-RO"/>
        </w:rPr>
        <w:footnoteRef/>
      </w:r>
      <w:r w:rsidRPr="00B562EE">
        <w:rPr>
          <w:sz w:val="16"/>
          <w:szCs w:val="16"/>
          <w:lang w:val="ro-RO"/>
        </w:rPr>
        <w:t xml:space="preserve"> Reprezentanților acestei autorități le-a fost înaintată o propunere de încheiere a unor acorduri bilaterale cu diferite autorități locale din UK (primăriile unor orașe din UK) cu privire la facilitarea repatrierii minorilor cetățeni români, obținerea unor referate de anchetă socială din România privind familiile extinse în care aceștia ar putea fi reintegrați etc. </w:t>
      </w:r>
    </w:p>
  </w:footnote>
  <w:footnote w:id="5">
    <w:p w14:paraId="4016EE0E" w14:textId="77777777" w:rsidR="00104E9F" w:rsidRPr="00B562EE" w:rsidRDefault="00104E9F" w:rsidP="00B562EE">
      <w:pPr>
        <w:pStyle w:val="FootnoteText"/>
        <w:ind w:left="0"/>
        <w:rPr>
          <w:sz w:val="16"/>
          <w:szCs w:val="16"/>
          <w:lang w:val="ro-RO"/>
        </w:rPr>
      </w:pPr>
      <w:r w:rsidRPr="00B562EE">
        <w:rPr>
          <w:rStyle w:val="FootnoteReference"/>
          <w:sz w:val="16"/>
          <w:szCs w:val="16"/>
          <w:lang w:val="ro-RO"/>
        </w:rPr>
        <w:footnoteRef/>
      </w:r>
      <w:r w:rsidRPr="00B562EE">
        <w:rPr>
          <w:sz w:val="16"/>
          <w:szCs w:val="16"/>
          <w:lang w:val="ro-RO"/>
        </w:rPr>
        <w:t xml:space="preserve"> Convenția de la Haga din 23 noiembrie 2007 privind obținerea pensiei de întreținere pentru copii și alți membri ai familiei a fost semnată de către UE în numele SM le UE, prin Decizia 2011/220/UE a Consiliului UE din 31.03.2011, și aprobată prin decizia Consiliului UE 2011/432/UE  din 09.06.2011;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09A27" w14:textId="77777777" w:rsidR="0094530E" w:rsidRDefault="0094530E" w:rsidP="008A4458">
    <w:pPr>
      <w:pStyle w:val="Header"/>
      <w:ind w:left="0"/>
    </w:pPr>
  </w:p>
  <w:p w14:paraId="46F6B88A" w14:textId="77777777" w:rsidR="00E80D5E" w:rsidRPr="00CD5B3B" w:rsidRDefault="00E80D5E" w:rsidP="008A4458">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ECA5" w14:textId="77777777" w:rsidR="00E80D5E" w:rsidRDefault="00E80D5E" w:rsidP="002B2D08">
    <w:pPr>
      <w:pStyle w:val="Heade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5A1A"/>
    <w:multiLevelType w:val="hybridMultilevel"/>
    <w:tmpl w:val="5656BC5E"/>
    <w:lvl w:ilvl="0" w:tplc="88327B3E">
      <w:start w:val="1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86554"/>
    <w:multiLevelType w:val="hybridMultilevel"/>
    <w:tmpl w:val="7964511A"/>
    <w:lvl w:ilvl="0" w:tplc="7C02C566">
      <w:numFmt w:val="bullet"/>
      <w:lvlText w:val="-"/>
      <w:lvlJc w:val="left"/>
      <w:pPr>
        <w:ind w:left="927" w:hanging="360"/>
      </w:pPr>
      <w:rPr>
        <w:rFonts w:ascii="Arial" w:eastAsia="Simsun (Founder Extended)"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F20EDF"/>
    <w:multiLevelType w:val="hybridMultilevel"/>
    <w:tmpl w:val="BE1E119C"/>
    <w:lvl w:ilvl="0" w:tplc="066CC33E">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7044C"/>
    <w:multiLevelType w:val="hybridMultilevel"/>
    <w:tmpl w:val="1390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424D0"/>
    <w:multiLevelType w:val="multilevel"/>
    <w:tmpl w:val="48741C5E"/>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5" w15:restartNumberingAfterBreak="0">
    <w:nsid w:val="3C8F727A"/>
    <w:multiLevelType w:val="hybridMultilevel"/>
    <w:tmpl w:val="0EC4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B56F7"/>
    <w:multiLevelType w:val="hybridMultilevel"/>
    <w:tmpl w:val="D0C25DF0"/>
    <w:lvl w:ilvl="0" w:tplc="89CE3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75E23"/>
    <w:multiLevelType w:val="hybridMultilevel"/>
    <w:tmpl w:val="B1F47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230FD"/>
    <w:multiLevelType w:val="hybridMultilevel"/>
    <w:tmpl w:val="E82EEDBA"/>
    <w:lvl w:ilvl="0" w:tplc="A71ED9B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F33FB"/>
    <w:multiLevelType w:val="hybridMultilevel"/>
    <w:tmpl w:val="198C551A"/>
    <w:lvl w:ilvl="0" w:tplc="8E88790A">
      <w:start w:val="9"/>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4524F"/>
    <w:multiLevelType w:val="hybridMultilevel"/>
    <w:tmpl w:val="F816FD4A"/>
    <w:lvl w:ilvl="0" w:tplc="E3782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7988"/>
    <w:multiLevelType w:val="hybridMultilevel"/>
    <w:tmpl w:val="6A4EB8F6"/>
    <w:lvl w:ilvl="0" w:tplc="CDFCF4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B8A15BA"/>
    <w:multiLevelType w:val="hybridMultilevel"/>
    <w:tmpl w:val="21E4A6FA"/>
    <w:lvl w:ilvl="0" w:tplc="59DCE26E">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85BF1"/>
    <w:multiLevelType w:val="hybridMultilevel"/>
    <w:tmpl w:val="9E84A57C"/>
    <w:lvl w:ilvl="0" w:tplc="0346113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D606E28"/>
    <w:multiLevelType w:val="hybridMultilevel"/>
    <w:tmpl w:val="7744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179DA"/>
    <w:multiLevelType w:val="hybridMultilevel"/>
    <w:tmpl w:val="27125BA4"/>
    <w:lvl w:ilvl="0" w:tplc="275C386E">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E5386"/>
    <w:multiLevelType w:val="hybridMultilevel"/>
    <w:tmpl w:val="0D1C624A"/>
    <w:lvl w:ilvl="0" w:tplc="D758DFB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67D85"/>
    <w:multiLevelType w:val="hybridMultilevel"/>
    <w:tmpl w:val="73120094"/>
    <w:lvl w:ilvl="0" w:tplc="0D62EEB0">
      <w:start w:val="1"/>
      <w:numFmt w:val="bullet"/>
      <w:lvlText w:val="-"/>
      <w:lvlJc w:val="left"/>
      <w:pPr>
        <w:ind w:left="1080" w:hanging="360"/>
      </w:pPr>
      <w:rPr>
        <w:rFonts w:ascii="Trebuchet MS" w:eastAsia="MS Mincho"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DA7F98"/>
    <w:multiLevelType w:val="hybridMultilevel"/>
    <w:tmpl w:val="340E80F6"/>
    <w:lvl w:ilvl="0" w:tplc="CDEA477E">
      <w:start w:val="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60550"/>
    <w:multiLevelType w:val="hybridMultilevel"/>
    <w:tmpl w:val="76D8A2BC"/>
    <w:lvl w:ilvl="0" w:tplc="25D47B8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11D8C"/>
    <w:multiLevelType w:val="hybridMultilevel"/>
    <w:tmpl w:val="9892A4EC"/>
    <w:lvl w:ilvl="0" w:tplc="09903CB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
  </w:num>
  <w:num w:numId="4">
    <w:abstractNumId w:val="8"/>
  </w:num>
  <w:num w:numId="5">
    <w:abstractNumId w:val="18"/>
  </w:num>
  <w:num w:numId="6">
    <w:abstractNumId w:val="15"/>
  </w:num>
  <w:num w:numId="7">
    <w:abstractNumId w:val="9"/>
  </w:num>
  <w:num w:numId="8">
    <w:abstractNumId w:val="0"/>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6"/>
  </w:num>
  <w:num w:numId="14">
    <w:abstractNumId w:val="14"/>
  </w:num>
  <w:num w:numId="15">
    <w:abstractNumId w:val="3"/>
  </w:num>
  <w:num w:numId="16">
    <w:abstractNumId w:val="5"/>
  </w:num>
  <w:num w:numId="17">
    <w:abstractNumId w:val="10"/>
  </w:num>
  <w:num w:numId="18">
    <w:abstractNumId w:val="7"/>
  </w:num>
  <w:num w:numId="19">
    <w:abstractNumId w:val="11"/>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103AB"/>
    <w:rsid w:val="00011179"/>
    <w:rsid w:val="000142D2"/>
    <w:rsid w:val="00023330"/>
    <w:rsid w:val="00031FB2"/>
    <w:rsid w:val="00036CF6"/>
    <w:rsid w:val="000454F3"/>
    <w:rsid w:val="00055136"/>
    <w:rsid w:val="00062F66"/>
    <w:rsid w:val="000663C7"/>
    <w:rsid w:val="00073A70"/>
    <w:rsid w:val="0007651F"/>
    <w:rsid w:val="00080347"/>
    <w:rsid w:val="00091F9B"/>
    <w:rsid w:val="00097EB3"/>
    <w:rsid w:val="000A56E0"/>
    <w:rsid w:val="000B1C48"/>
    <w:rsid w:val="000C1572"/>
    <w:rsid w:val="000C5D17"/>
    <w:rsid w:val="000D0DF2"/>
    <w:rsid w:val="000D1F94"/>
    <w:rsid w:val="000D39FA"/>
    <w:rsid w:val="000E454A"/>
    <w:rsid w:val="000F1D8C"/>
    <w:rsid w:val="000F76D5"/>
    <w:rsid w:val="00100F36"/>
    <w:rsid w:val="00104E9F"/>
    <w:rsid w:val="001230DA"/>
    <w:rsid w:val="0012496F"/>
    <w:rsid w:val="001251F2"/>
    <w:rsid w:val="00126C55"/>
    <w:rsid w:val="001276BB"/>
    <w:rsid w:val="00131D99"/>
    <w:rsid w:val="001370E1"/>
    <w:rsid w:val="00145D18"/>
    <w:rsid w:val="00146DEA"/>
    <w:rsid w:val="0015054A"/>
    <w:rsid w:val="00153C7E"/>
    <w:rsid w:val="00157447"/>
    <w:rsid w:val="00163297"/>
    <w:rsid w:val="001667D5"/>
    <w:rsid w:val="001673E9"/>
    <w:rsid w:val="00170265"/>
    <w:rsid w:val="0017311C"/>
    <w:rsid w:val="00190C61"/>
    <w:rsid w:val="00191A5E"/>
    <w:rsid w:val="00192220"/>
    <w:rsid w:val="00197658"/>
    <w:rsid w:val="001B3CCD"/>
    <w:rsid w:val="001C734A"/>
    <w:rsid w:val="001D60E0"/>
    <w:rsid w:val="001E167F"/>
    <w:rsid w:val="001F4742"/>
    <w:rsid w:val="001F6713"/>
    <w:rsid w:val="00200654"/>
    <w:rsid w:val="00210BF7"/>
    <w:rsid w:val="00210EA5"/>
    <w:rsid w:val="002117BA"/>
    <w:rsid w:val="00215DD4"/>
    <w:rsid w:val="00217B5E"/>
    <w:rsid w:val="00233245"/>
    <w:rsid w:val="002352B6"/>
    <w:rsid w:val="002430B5"/>
    <w:rsid w:val="00244724"/>
    <w:rsid w:val="002468CD"/>
    <w:rsid w:val="00246D5C"/>
    <w:rsid w:val="00251895"/>
    <w:rsid w:val="00263DB9"/>
    <w:rsid w:val="002642E7"/>
    <w:rsid w:val="00267B16"/>
    <w:rsid w:val="002A5742"/>
    <w:rsid w:val="002A74B6"/>
    <w:rsid w:val="002B2D08"/>
    <w:rsid w:val="002B4DDF"/>
    <w:rsid w:val="002C5F3B"/>
    <w:rsid w:val="002D2FF7"/>
    <w:rsid w:val="002E7998"/>
    <w:rsid w:val="002F479A"/>
    <w:rsid w:val="00304468"/>
    <w:rsid w:val="00314609"/>
    <w:rsid w:val="00320B55"/>
    <w:rsid w:val="0032367F"/>
    <w:rsid w:val="00325788"/>
    <w:rsid w:val="00326C01"/>
    <w:rsid w:val="00331D73"/>
    <w:rsid w:val="003358A0"/>
    <w:rsid w:val="00336015"/>
    <w:rsid w:val="00341137"/>
    <w:rsid w:val="003445C4"/>
    <w:rsid w:val="00354309"/>
    <w:rsid w:val="00362F2A"/>
    <w:rsid w:val="0036792A"/>
    <w:rsid w:val="00371949"/>
    <w:rsid w:val="0038308A"/>
    <w:rsid w:val="00391171"/>
    <w:rsid w:val="003961F8"/>
    <w:rsid w:val="003A42EA"/>
    <w:rsid w:val="003B7109"/>
    <w:rsid w:val="003B7EF9"/>
    <w:rsid w:val="003C6554"/>
    <w:rsid w:val="003D0449"/>
    <w:rsid w:val="003D523E"/>
    <w:rsid w:val="003D5AD7"/>
    <w:rsid w:val="003E4E36"/>
    <w:rsid w:val="003F08B0"/>
    <w:rsid w:val="003F15EE"/>
    <w:rsid w:val="003F5CEC"/>
    <w:rsid w:val="004026BF"/>
    <w:rsid w:val="00407AE0"/>
    <w:rsid w:val="004123D8"/>
    <w:rsid w:val="00423CD5"/>
    <w:rsid w:val="00433202"/>
    <w:rsid w:val="00433448"/>
    <w:rsid w:val="00444A34"/>
    <w:rsid w:val="004504FA"/>
    <w:rsid w:val="00471410"/>
    <w:rsid w:val="00471FDD"/>
    <w:rsid w:val="00473E72"/>
    <w:rsid w:val="00493AD5"/>
    <w:rsid w:val="00495AB5"/>
    <w:rsid w:val="00496469"/>
    <w:rsid w:val="00496627"/>
    <w:rsid w:val="004A4D5E"/>
    <w:rsid w:val="004B0E1A"/>
    <w:rsid w:val="004B42D0"/>
    <w:rsid w:val="004C6F2A"/>
    <w:rsid w:val="004D06E5"/>
    <w:rsid w:val="004D4A37"/>
    <w:rsid w:val="004E594D"/>
    <w:rsid w:val="004F0110"/>
    <w:rsid w:val="004F644F"/>
    <w:rsid w:val="0050084D"/>
    <w:rsid w:val="00510E98"/>
    <w:rsid w:val="00516380"/>
    <w:rsid w:val="00536147"/>
    <w:rsid w:val="00544CF7"/>
    <w:rsid w:val="005543CA"/>
    <w:rsid w:val="00555754"/>
    <w:rsid w:val="00555A5A"/>
    <w:rsid w:val="005570F6"/>
    <w:rsid w:val="00566602"/>
    <w:rsid w:val="005730D1"/>
    <w:rsid w:val="0057480C"/>
    <w:rsid w:val="00593DD4"/>
    <w:rsid w:val="005953C3"/>
    <w:rsid w:val="00595CE3"/>
    <w:rsid w:val="00597423"/>
    <w:rsid w:val="00597ED0"/>
    <w:rsid w:val="005A05AA"/>
    <w:rsid w:val="005B29BB"/>
    <w:rsid w:val="005B6FBB"/>
    <w:rsid w:val="005C7F32"/>
    <w:rsid w:val="005E14DF"/>
    <w:rsid w:val="005E1EA4"/>
    <w:rsid w:val="005E3983"/>
    <w:rsid w:val="005E48E1"/>
    <w:rsid w:val="005E6FFA"/>
    <w:rsid w:val="005F3C2A"/>
    <w:rsid w:val="00604DD4"/>
    <w:rsid w:val="00610893"/>
    <w:rsid w:val="00612E03"/>
    <w:rsid w:val="00613FFC"/>
    <w:rsid w:val="00627F10"/>
    <w:rsid w:val="00630C54"/>
    <w:rsid w:val="006322D7"/>
    <w:rsid w:val="00633D0A"/>
    <w:rsid w:val="00645A5D"/>
    <w:rsid w:val="0065346E"/>
    <w:rsid w:val="00661EEE"/>
    <w:rsid w:val="006629C8"/>
    <w:rsid w:val="00665734"/>
    <w:rsid w:val="00666957"/>
    <w:rsid w:val="0066705D"/>
    <w:rsid w:val="00676390"/>
    <w:rsid w:val="00677FEB"/>
    <w:rsid w:val="00680873"/>
    <w:rsid w:val="00685728"/>
    <w:rsid w:val="00687001"/>
    <w:rsid w:val="00691BB8"/>
    <w:rsid w:val="00695016"/>
    <w:rsid w:val="0069564D"/>
    <w:rsid w:val="006A263E"/>
    <w:rsid w:val="006B415F"/>
    <w:rsid w:val="006B528B"/>
    <w:rsid w:val="006C06B2"/>
    <w:rsid w:val="006D0E91"/>
    <w:rsid w:val="006D5FB6"/>
    <w:rsid w:val="006E164B"/>
    <w:rsid w:val="006E34F7"/>
    <w:rsid w:val="006E4C17"/>
    <w:rsid w:val="006F5CED"/>
    <w:rsid w:val="00716B68"/>
    <w:rsid w:val="00722B50"/>
    <w:rsid w:val="00722BEC"/>
    <w:rsid w:val="00725F2C"/>
    <w:rsid w:val="00727F84"/>
    <w:rsid w:val="0073262E"/>
    <w:rsid w:val="00740FE6"/>
    <w:rsid w:val="0075239F"/>
    <w:rsid w:val="00753592"/>
    <w:rsid w:val="00753BC2"/>
    <w:rsid w:val="00761AB4"/>
    <w:rsid w:val="00763EB6"/>
    <w:rsid w:val="007650BD"/>
    <w:rsid w:val="00766E0E"/>
    <w:rsid w:val="007778B4"/>
    <w:rsid w:val="00781892"/>
    <w:rsid w:val="007940FF"/>
    <w:rsid w:val="00797A62"/>
    <w:rsid w:val="007A61FB"/>
    <w:rsid w:val="007A6BF1"/>
    <w:rsid w:val="007C719D"/>
    <w:rsid w:val="007D3D67"/>
    <w:rsid w:val="007D5B8B"/>
    <w:rsid w:val="007F06D8"/>
    <w:rsid w:val="007F275F"/>
    <w:rsid w:val="007F4DD0"/>
    <w:rsid w:val="00805006"/>
    <w:rsid w:val="0080600A"/>
    <w:rsid w:val="008138AE"/>
    <w:rsid w:val="00831561"/>
    <w:rsid w:val="00835534"/>
    <w:rsid w:val="008500A7"/>
    <w:rsid w:val="0085309A"/>
    <w:rsid w:val="00853B70"/>
    <w:rsid w:val="00855DD4"/>
    <w:rsid w:val="00855FEB"/>
    <w:rsid w:val="00862ACE"/>
    <w:rsid w:val="00863C03"/>
    <w:rsid w:val="00864A68"/>
    <w:rsid w:val="00871DA8"/>
    <w:rsid w:val="00872801"/>
    <w:rsid w:val="00874CF0"/>
    <w:rsid w:val="00881F97"/>
    <w:rsid w:val="00883074"/>
    <w:rsid w:val="00884785"/>
    <w:rsid w:val="00886B53"/>
    <w:rsid w:val="00893066"/>
    <w:rsid w:val="00896375"/>
    <w:rsid w:val="008A2AC0"/>
    <w:rsid w:val="008A2E31"/>
    <w:rsid w:val="008A4458"/>
    <w:rsid w:val="008A5833"/>
    <w:rsid w:val="008B63B2"/>
    <w:rsid w:val="008B7FFD"/>
    <w:rsid w:val="008D48F8"/>
    <w:rsid w:val="008E47BB"/>
    <w:rsid w:val="008E5FE7"/>
    <w:rsid w:val="008F00FD"/>
    <w:rsid w:val="008F0F6C"/>
    <w:rsid w:val="008F5B2D"/>
    <w:rsid w:val="00905EF0"/>
    <w:rsid w:val="00915096"/>
    <w:rsid w:val="00915643"/>
    <w:rsid w:val="009163DE"/>
    <w:rsid w:val="0092065B"/>
    <w:rsid w:val="00943215"/>
    <w:rsid w:val="0094530E"/>
    <w:rsid w:val="00954B12"/>
    <w:rsid w:val="009665F5"/>
    <w:rsid w:val="00972E15"/>
    <w:rsid w:val="0097455E"/>
    <w:rsid w:val="00977664"/>
    <w:rsid w:val="00982C11"/>
    <w:rsid w:val="00986FFB"/>
    <w:rsid w:val="009A3DC0"/>
    <w:rsid w:val="009A6CDB"/>
    <w:rsid w:val="009C0367"/>
    <w:rsid w:val="009C3A60"/>
    <w:rsid w:val="009D0A92"/>
    <w:rsid w:val="009D1AC1"/>
    <w:rsid w:val="009D73D8"/>
    <w:rsid w:val="009E2DD8"/>
    <w:rsid w:val="009E7609"/>
    <w:rsid w:val="00A00B13"/>
    <w:rsid w:val="00A23DA1"/>
    <w:rsid w:val="00A26634"/>
    <w:rsid w:val="00A300BB"/>
    <w:rsid w:val="00A56A75"/>
    <w:rsid w:val="00A7233B"/>
    <w:rsid w:val="00A7669D"/>
    <w:rsid w:val="00A8061A"/>
    <w:rsid w:val="00A8067F"/>
    <w:rsid w:val="00AA76EE"/>
    <w:rsid w:val="00AC420C"/>
    <w:rsid w:val="00AC44F8"/>
    <w:rsid w:val="00AC59A5"/>
    <w:rsid w:val="00AC63E0"/>
    <w:rsid w:val="00AC6790"/>
    <w:rsid w:val="00AE0A38"/>
    <w:rsid w:val="00AE26B4"/>
    <w:rsid w:val="00AE4D48"/>
    <w:rsid w:val="00AF233F"/>
    <w:rsid w:val="00B046AA"/>
    <w:rsid w:val="00B06390"/>
    <w:rsid w:val="00B0748B"/>
    <w:rsid w:val="00B13BB4"/>
    <w:rsid w:val="00B13E3F"/>
    <w:rsid w:val="00B1429E"/>
    <w:rsid w:val="00B20782"/>
    <w:rsid w:val="00B25513"/>
    <w:rsid w:val="00B307A0"/>
    <w:rsid w:val="00B35E3E"/>
    <w:rsid w:val="00B407A6"/>
    <w:rsid w:val="00B502C7"/>
    <w:rsid w:val="00B562EE"/>
    <w:rsid w:val="00B62B16"/>
    <w:rsid w:val="00B70A35"/>
    <w:rsid w:val="00B71F9C"/>
    <w:rsid w:val="00B72420"/>
    <w:rsid w:val="00B903CF"/>
    <w:rsid w:val="00BB479C"/>
    <w:rsid w:val="00BB7648"/>
    <w:rsid w:val="00BB7EAD"/>
    <w:rsid w:val="00BC7561"/>
    <w:rsid w:val="00BD394F"/>
    <w:rsid w:val="00BD4B4B"/>
    <w:rsid w:val="00BE203A"/>
    <w:rsid w:val="00BE56F6"/>
    <w:rsid w:val="00BE5AA1"/>
    <w:rsid w:val="00BE60A8"/>
    <w:rsid w:val="00BF1E82"/>
    <w:rsid w:val="00BF2B4A"/>
    <w:rsid w:val="00C05271"/>
    <w:rsid w:val="00C05F49"/>
    <w:rsid w:val="00C075D8"/>
    <w:rsid w:val="00C1515A"/>
    <w:rsid w:val="00C20EF1"/>
    <w:rsid w:val="00C31FF4"/>
    <w:rsid w:val="00C42640"/>
    <w:rsid w:val="00C514B6"/>
    <w:rsid w:val="00C518FF"/>
    <w:rsid w:val="00C54223"/>
    <w:rsid w:val="00C57543"/>
    <w:rsid w:val="00C6130D"/>
    <w:rsid w:val="00C676DE"/>
    <w:rsid w:val="00C82A75"/>
    <w:rsid w:val="00C83D7F"/>
    <w:rsid w:val="00C87667"/>
    <w:rsid w:val="00C9408B"/>
    <w:rsid w:val="00CB357E"/>
    <w:rsid w:val="00CB74DA"/>
    <w:rsid w:val="00CC0367"/>
    <w:rsid w:val="00CD0C6C"/>
    <w:rsid w:val="00CD0F06"/>
    <w:rsid w:val="00CD160F"/>
    <w:rsid w:val="00CD5B3B"/>
    <w:rsid w:val="00D02843"/>
    <w:rsid w:val="00D03818"/>
    <w:rsid w:val="00D06E9C"/>
    <w:rsid w:val="00D130D7"/>
    <w:rsid w:val="00D131C1"/>
    <w:rsid w:val="00D16DFD"/>
    <w:rsid w:val="00D21D1D"/>
    <w:rsid w:val="00D24827"/>
    <w:rsid w:val="00D274A0"/>
    <w:rsid w:val="00D27C4A"/>
    <w:rsid w:val="00D37D70"/>
    <w:rsid w:val="00D41836"/>
    <w:rsid w:val="00D435B8"/>
    <w:rsid w:val="00D51B63"/>
    <w:rsid w:val="00D5399F"/>
    <w:rsid w:val="00D54F0D"/>
    <w:rsid w:val="00D669B1"/>
    <w:rsid w:val="00D73836"/>
    <w:rsid w:val="00D7661E"/>
    <w:rsid w:val="00D86F1D"/>
    <w:rsid w:val="00DB36BE"/>
    <w:rsid w:val="00DC4D88"/>
    <w:rsid w:val="00DD2C71"/>
    <w:rsid w:val="00DD7F47"/>
    <w:rsid w:val="00DE3731"/>
    <w:rsid w:val="00DE7281"/>
    <w:rsid w:val="00DF1E7C"/>
    <w:rsid w:val="00DF4F66"/>
    <w:rsid w:val="00E010A9"/>
    <w:rsid w:val="00E02F38"/>
    <w:rsid w:val="00E03B0A"/>
    <w:rsid w:val="00E11BBC"/>
    <w:rsid w:val="00E31567"/>
    <w:rsid w:val="00E43727"/>
    <w:rsid w:val="00E45791"/>
    <w:rsid w:val="00E46AD6"/>
    <w:rsid w:val="00E51972"/>
    <w:rsid w:val="00E53B37"/>
    <w:rsid w:val="00E562FC"/>
    <w:rsid w:val="00E56BF1"/>
    <w:rsid w:val="00E57F17"/>
    <w:rsid w:val="00E6485E"/>
    <w:rsid w:val="00E73E98"/>
    <w:rsid w:val="00E807EF"/>
    <w:rsid w:val="00E808F6"/>
    <w:rsid w:val="00E80D5E"/>
    <w:rsid w:val="00E80D66"/>
    <w:rsid w:val="00E81523"/>
    <w:rsid w:val="00E824DF"/>
    <w:rsid w:val="00E83283"/>
    <w:rsid w:val="00E936A2"/>
    <w:rsid w:val="00E966AF"/>
    <w:rsid w:val="00EA0F6C"/>
    <w:rsid w:val="00EA3275"/>
    <w:rsid w:val="00EB5B14"/>
    <w:rsid w:val="00EC514E"/>
    <w:rsid w:val="00ED0C4E"/>
    <w:rsid w:val="00EE32F2"/>
    <w:rsid w:val="00EE52C4"/>
    <w:rsid w:val="00EF0504"/>
    <w:rsid w:val="00EF0E62"/>
    <w:rsid w:val="00EF49FF"/>
    <w:rsid w:val="00EF59CE"/>
    <w:rsid w:val="00EF7AC8"/>
    <w:rsid w:val="00F00CDA"/>
    <w:rsid w:val="00F01D65"/>
    <w:rsid w:val="00F031A5"/>
    <w:rsid w:val="00F03E7C"/>
    <w:rsid w:val="00F05F1D"/>
    <w:rsid w:val="00F10FDE"/>
    <w:rsid w:val="00F30382"/>
    <w:rsid w:val="00F3051F"/>
    <w:rsid w:val="00F31DB1"/>
    <w:rsid w:val="00F328D5"/>
    <w:rsid w:val="00F33E18"/>
    <w:rsid w:val="00F471AF"/>
    <w:rsid w:val="00F47AB3"/>
    <w:rsid w:val="00F56471"/>
    <w:rsid w:val="00F65587"/>
    <w:rsid w:val="00F67D20"/>
    <w:rsid w:val="00F740E4"/>
    <w:rsid w:val="00F74932"/>
    <w:rsid w:val="00F77CBA"/>
    <w:rsid w:val="00F83ED1"/>
    <w:rsid w:val="00FA23A0"/>
    <w:rsid w:val="00FA7C03"/>
    <w:rsid w:val="00FB1F8E"/>
    <w:rsid w:val="00FB2956"/>
    <w:rsid w:val="00FB6D27"/>
    <w:rsid w:val="00FC4284"/>
    <w:rsid w:val="00FC5304"/>
    <w:rsid w:val="00FC66E9"/>
    <w:rsid w:val="00FD236F"/>
    <w:rsid w:val="00FD2DD8"/>
    <w:rsid w:val="00FD532A"/>
    <w:rsid w:val="00FE2F2C"/>
    <w:rsid w:val="00FF05D7"/>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72191"/>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D5"/>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nhideWhenUsed/>
    <w:rsid w:val="005E14DF"/>
    <w:pPr>
      <w:spacing w:after="0" w:line="240" w:lineRule="auto"/>
    </w:pPr>
    <w:rPr>
      <w:sz w:val="20"/>
      <w:szCs w:val="20"/>
    </w:rPr>
  </w:style>
  <w:style w:type="character" w:customStyle="1" w:styleId="FootnoteTextChar">
    <w:name w:val="Footnote Text Char"/>
    <w:basedOn w:val="DefaultParagraphFont"/>
    <w:link w:val="FootnoteText"/>
    <w:rsid w:val="005E14DF"/>
    <w:rPr>
      <w:rFonts w:ascii="Trebuchet MS" w:hAnsi="Trebuchet MS"/>
    </w:rPr>
  </w:style>
  <w:style w:type="character" w:styleId="FootnoteReference">
    <w:name w:val="footnote reference"/>
    <w:aliases w:val="SUPERS Char2,BVI fnr Char1,BVI fnr Char2,Footnote symbol Char2,numar nota subsol Char1,SUPERS Char Char Char1,BVI fnr Char Char Char,BVI fnr Char Char Char1,Footnote symbol Char Char Char1,SUPERS Char1 Char Char Char,stylish,BVI fnr"/>
    <w:basedOn w:val="DefaultParagraphFont"/>
    <w:unhideWhenUsed/>
    <w:qFormat/>
    <w:rsid w:val="005E14DF"/>
    <w:rPr>
      <w:vertAlign w:val="superscript"/>
    </w:rPr>
  </w:style>
  <w:style w:type="paragraph" w:styleId="ListParagraph">
    <w:name w:val="List Paragraph"/>
    <w:basedOn w:val="Normal"/>
    <w:uiPriority w:val="34"/>
    <w:qFormat/>
    <w:rsid w:val="000E454A"/>
    <w:pPr>
      <w:ind w:left="720"/>
      <w:contextualSpacing/>
    </w:pPr>
  </w:style>
  <w:style w:type="paragraph" w:customStyle="1" w:styleId="Default">
    <w:name w:val="Default"/>
    <w:rsid w:val="00E73E98"/>
    <w:pPr>
      <w:autoSpaceDE w:val="0"/>
      <w:autoSpaceDN w:val="0"/>
      <w:adjustRightInd w:val="0"/>
    </w:pPr>
    <w:rPr>
      <w:rFonts w:ascii="Times New Roman" w:eastAsia="Times New Roman" w:hAnsi="Times New Roman"/>
      <w:color w:val="000000"/>
      <w:sz w:val="24"/>
      <w:szCs w:val="24"/>
    </w:rPr>
  </w:style>
  <w:style w:type="paragraph" w:customStyle="1" w:styleId="Pointabc">
    <w:name w:val="Point abc"/>
    <w:basedOn w:val="Normal"/>
    <w:rsid w:val="002A74B6"/>
    <w:pPr>
      <w:numPr>
        <w:ilvl w:val="1"/>
        <w:numId w:val="10"/>
      </w:numPr>
      <w:spacing w:before="120" w:line="360" w:lineRule="auto"/>
      <w:jc w:val="left"/>
    </w:pPr>
    <w:rPr>
      <w:rFonts w:ascii="Times New Roman" w:eastAsia="Times New Roman" w:hAnsi="Times New Roman"/>
      <w:sz w:val="24"/>
      <w:szCs w:val="24"/>
      <w:lang w:val="ro-RO" w:eastAsia="ro-RO" w:bidi="ro-RO"/>
    </w:rPr>
  </w:style>
  <w:style w:type="paragraph" w:customStyle="1" w:styleId="Pointabc1">
    <w:name w:val="Point abc (1)"/>
    <w:basedOn w:val="Normal"/>
    <w:rsid w:val="002A74B6"/>
    <w:pPr>
      <w:numPr>
        <w:ilvl w:val="3"/>
        <w:numId w:val="10"/>
      </w:numPr>
      <w:spacing w:before="120" w:line="360" w:lineRule="auto"/>
      <w:jc w:val="left"/>
      <w:outlineLvl w:val="0"/>
    </w:pPr>
    <w:rPr>
      <w:rFonts w:ascii="Times New Roman" w:eastAsia="Times New Roman" w:hAnsi="Times New Roman"/>
      <w:sz w:val="24"/>
      <w:szCs w:val="24"/>
      <w:lang w:val="ro-RO" w:eastAsia="ro-RO" w:bidi="ro-RO"/>
    </w:rPr>
  </w:style>
  <w:style w:type="paragraph" w:customStyle="1" w:styleId="Pointabc2">
    <w:name w:val="Point abc (2)"/>
    <w:basedOn w:val="Normal"/>
    <w:rsid w:val="002A74B6"/>
    <w:pPr>
      <w:numPr>
        <w:ilvl w:val="5"/>
        <w:numId w:val="10"/>
      </w:numPr>
      <w:spacing w:before="120" w:line="360" w:lineRule="auto"/>
      <w:jc w:val="left"/>
      <w:outlineLvl w:val="1"/>
    </w:pPr>
    <w:rPr>
      <w:rFonts w:ascii="Times New Roman" w:eastAsia="Times New Roman" w:hAnsi="Times New Roman"/>
      <w:sz w:val="24"/>
      <w:szCs w:val="24"/>
      <w:lang w:val="ro-RO" w:eastAsia="ro-RO" w:bidi="ro-RO"/>
    </w:rPr>
  </w:style>
  <w:style w:type="paragraph" w:customStyle="1" w:styleId="Pointabc3">
    <w:name w:val="Point abc (3)"/>
    <w:basedOn w:val="Normal"/>
    <w:rsid w:val="002A74B6"/>
    <w:pPr>
      <w:numPr>
        <w:ilvl w:val="7"/>
        <w:numId w:val="10"/>
      </w:numPr>
      <w:spacing w:before="120" w:line="360" w:lineRule="auto"/>
      <w:jc w:val="left"/>
      <w:outlineLvl w:val="2"/>
    </w:pPr>
    <w:rPr>
      <w:rFonts w:ascii="Times New Roman" w:eastAsia="Times New Roman" w:hAnsi="Times New Roman"/>
      <w:sz w:val="24"/>
      <w:szCs w:val="24"/>
      <w:lang w:val="ro-RO" w:eastAsia="ro-RO" w:bidi="ro-RO"/>
    </w:rPr>
  </w:style>
  <w:style w:type="paragraph" w:customStyle="1" w:styleId="Pointabc4">
    <w:name w:val="Point abc (4)"/>
    <w:basedOn w:val="Normal"/>
    <w:rsid w:val="002A74B6"/>
    <w:pPr>
      <w:numPr>
        <w:ilvl w:val="8"/>
        <w:numId w:val="10"/>
      </w:numPr>
      <w:spacing w:before="120" w:line="360" w:lineRule="auto"/>
      <w:jc w:val="left"/>
      <w:outlineLvl w:val="3"/>
    </w:pPr>
    <w:rPr>
      <w:rFonts w:ascii="Times New Roman" w:eastAsia="Times New Roman" w:hAnsi="Times New Roman"/>
      <w:sz w:val="24"/>
      <w:szCs w:val="24"/>
      <w:lang w:val="ro-RO" w:eastAsia="ro-RO" w:bidi="ro-RO"/>
    </w:rPr>
  </w:style>
  <w:style w:type="paragraph" w:customStyle="1" w:styleId="Point123">
    <w:name w:val="Point 123"/>
    <w:basedOn w:val="Normal"/>
    <w:rsid w:val="002A74B6"/>
    <w:pPr>
      <w:numPr>
        <w:numId w:val="10"/>
      </w:numPr>
      <w:spacing w:before="120" w:line="360" w:lineRule="auto"/>
      <w:jc w:val="left"/>
    </w:pPr>
    <w:rPr>
      <w:rFonts w:ascii="Times New Roman" w:eastAsia="Times New Roman" w:hAnsi="Times New Roman"/>
      <w:sz w:val="24"/>
      <w:szCs w:val="24"/>
      <w:lang w:val="ro-RO" w:eastAsia="ro-RO" w:bidi="ro-RO"/>
    </w:rPr>
  </w:style>
  <w:style w:type="paragraph" w:customStyle="1" w:styleId="Point1231">
    <w:name w:val="Point 123 (1)"/>
    <w:basedOn w:val="Normal"/>
    <w:rsid w:val="002A74B6"/>
    <w:pPr>
      <w:numPr>
        <w:ilvl w:val="2"/>
        <w:numId w:val="10"/>
      </w:numPr>
      <w:spacing w:before="120" w:line="360" w:lineRule="auto"/>
      <w:jc w:val="left"/>
      <w:outlineLvl w:val="0"/>
    </w:pPr>
    <w:rPr>
      <w:rFonts w:ascii="Times New Roman" w:eastAsia="Times New Roman" w:hAnsi="Times New Roman"/>
      <w:sz w:val="24"/>
      <w:szCs w:val="24"/>
      <w:lang w:val="ro-RO" w:eastAsia="ro-RO" w:bidi="ro-RO"/>
    </w:rPr>
  </w:style>
  <w:style w:type="paragraph" w:customStyle="1" w:styleId="Point1232">
    <w:name w:val="Point 123 (2)"/>
    <w:basedOn w:val="Normal"/>
    <w:rsid w:val="002A74B6"/>
    <w:pPr>
      <w:numPr>
        <w:ilvl w:val="4"/>
        <w:numId w:val="10"/>
      </w:numPr>
      <w:spacing w:before="120" w:line="360" w:lineRule="auto"/>
      <w:jc w:val="left"/>
      <w:outlineLvl w:val="1"/>
    </w:pPr>
    <w:rPr>
      <w:rFonts w:ascii="Times New Roman" w:eastAsia="Times New Roman" w:hAnsi="Times New Roman"/>
      <w:sz w:val="24"/>
      <w:szCs w:val="24"/>
      <w:lang w:val="ro-RO" w:eastAsia="ro-RO" w:bidi="ro-RO"/>
    </w:rPr>
  </w:style>
  <w:style w:type="paragraph" w:customStyle="1" w:styleId="Point1233">
    <w:name w:val="Point 123 (3)"/>
    <w:basedOn w:val="Normal"/>
    <w:rsid w:val="002A74B6"/>
    <w:pPr>
      <w:numPr>
        <w:ilvl w:val="6"/>
        <w:numId w:val="10"/>
      </w:numPr>
      <w:spacing w:before="120" w:line="360" w:lineRule="auto"/>
      <w:jc w:val="left"/>
      <w:outlineLvl w:val="2"/>
    </w:pPr>
    <w:rPr>
      <w:rFonts w:ascii="Times New Roman" w:eastAsia="Times New Roman" w:hAnsi="Times New Roman"/>
      <w:sz w:val="24"/>
      <w:szCs w:val="24"/>
      <w:lang w:val="ro-RO" w:eastAsia="ro-RO" w:bidi="ro-RO"/>
    </w:rPr>
  </w:style>
  <w:style w:type="character" w:styleId="CommentReference">
    <w:name w:val="annotation reference"/>
    <w:basedOn w:val="DefaultParagraphFont"/>
    <w:rsid w:val="00371949"/>
    <w:rPr>
      <w:sz w:val="16"/>
      <w:szCs w:val="16"/>
    </w:rPr>
  </w:style>
  <w:style w:type="paragraph" w:styleId="CommentText">
    <w:name w:val="annotation text"/>
    <w:basedOn w:val="Normal"/>
    <w:link w:val="CommentTextChar"/>
    <w:rsid w:val="00371949"/>
    <w:pPr>
      <w:spacing w:line="240" w:lineRule="auto"/>
      <w:ind w:left="0" w:firstLine="567"/>
    </w:pPr>
    <w:rPr>
      <w:rFonts w:ascii="Arial" w:eastAsia="Simsun (Founder Extended)" w:hAnsi="Arial" w:cs="Arial"/>
      <w:sz w:val="20"/>
      <w:szCs w:val="20"/>
      <w:lang w:val="ro-RO" w:eastAsia="zh-CN"/>
    </w:rPr>
  </w:style>
  <w:style w:type="character" w:customStyle="1" w:styleId="CommentTextChar">
    <w:name w:val="Comment Text Char"/>
    <w:basedOn w:val="DefaultParagraphFont"/>
    <w:link w:val="CommentText"/>
    <w:rsid w:val="00371949"/>
    <w:rPr>
      <w:rFonts w:ascii="Arial" w:eastAsia="Simsun (Founder Extended)" w:hAnsi="Arial" w:cs="Arial"/>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68587">
      <w:bodyDiv w:val="1"/>
      <w:marLeft w:val="0"/>
      <w:marRight w:val="0"/>
      <w:marTop w:val="0"/>
      <w:marBottom w:val="0"/>
      <w:divBdr>
        <w:top w:val="none" w:sz="0" w:space="0" w:color="auto"/>
        <w:left w:val="none" w:sz="0" w:space="0" w:color="auto"/>
        <w:bottom w:val="none" w:sz="0" w:space="0" w:color="auto"/>
        <w:right w:val="none" w:sz="0" w:space="0" w:color="auto"/>
      </w:divBdr>
    </w:div>
    <w:div w:id="1451431115">
      <w:bodyDiv w:val="1"/>
      <w:marLeft w:val="0"/>
      <w:marRight w:val="0"/>
      <w:marTop w:val="0"/>
      <w:marBottom w:val="0"/>
      <w:divBdr>
        <w:top w:val="none" w:sz="0" w:space="0" w:color="auto"/>
        <w:left w:val="none" w:sz="0" w:space="0" w:color="auto"/>
        <w:bottom w:val="none" w:sz="0" w:space="0" w:color="auto"/>
        <w:right w:val="none" w:sz="0" w:space="0" w:color="auto"/>
      </w:divBdr>
    </w:div>
    <w:div w:id="207096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EBB1-6DFB-4F8D-A950-8FC839C8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0</TotalTime>
  <Pages>6</Pages>
  <Words>2759</Words>
  <Characters>15731</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18454</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Ioana Burduf</cp:lastModifiedBy>
  <cp:revision>2</cp:revision>
  <cp:lastPrinted>2018-06-17T12:33:00Z</cp:lastPrinted>
  <dcterms:created xsi:type="dcterms:W3CDTF">2019-02-22T08:01:00Z</dcterms:created>
  <dcterms:modified xsi:type="dcterms:W3CDTF">2019-02-22T08:01:00Z</dcterms:modified>
</cp:coreProperties>
</file>