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2A9A5E" w14:textId="77777777" w:rsidR="00E95E5D" w:rsidRPr="00E95E5D" w:rsidRDefault="00E95E5D" w:rsidP="00E95E5D">
      <w:pPr>
        <w:pStyle w:val="ListParagraph"/>
        <w:spacing w:after="0"/>
        <w:ind w:left="0" w:right="567"/>
        <w:rPr>
          <w:b/>
        </w:rPr>
      </w:pPr>
      <w:r w:rsidRPr="00E95E5D">
        <w:rPr>
          <w:b/>
        </w:rPr>
        <w:t xml:space="preserve">The Law Applicable to Contractual Obligations and Non-Contractual Obligations (Amendment etc.) (EU Exit) Regulations 2018 </w:t>
      </w:r>
    </w:p>
    <w:p w14:paraId="5A70BE78" w14:textId="77777777" w:rsidR="00E95E5D" w:rsidRPr="00E95E5D" w:rsidRDefault="00E95E5D" w:rsidP="00E95E5D">
      <w:pPr>
        <w:pStyle w:val="ListParagraph"/>
        <w:spacing w:after="0"/>
        <w:ind w:left="0" w:right="567"/>
      </w:pPr>
      <w:r w:rsidRPr="00E95E5D">
        <w:t xml:space="preserve">The purpose of this instrument is to ensure that the European Union (EU) rules that determine the law applicable to contractual and non-contractual obligations continue to operate effectively in domestic law after the UK’s exit from the EU. Those EU rules are contained, in particular, in Regulation (EC) No 593/2008 on the law applicable to contractual obligations (“Rome I”) and Regulation (EC) No 864/2007 on the law applicable to non-contractual obligations (“Rome II”). </w:t>
      </w:r>
    </w:p>
    <w:p w14:paraId="3247F5E3" w14:textId="3B21D236" w:rsidR="00E95E5D" w:rsidRPr="00E95E5D" w:rsidRDefault="00E95E5D" w:rsidP="00E95E5D">
      <w:pPr>
        <w:pStyle w:val="ListParagraph"/>
        <w:spacing w:after="0"/>
        <w:ind w:left="0" w:right="567"/>
      </w:pPr>
      <w:r w:rsidRPr="00E95E5D">
        <w:t xml:space="preserve"> </w:t>
      </w:r>
      <w:hyperlink r:id="rId8" w:history="1">
        <w:r w:rsidRPr="001325E5">
          <w:rPr>
            <w:rStyle w:val="Hyperlink"/>
          </w:rPr>
          <w:t>https://www.gov.uk/eu-withdrawal-act-2018-statutory-instruments/the-law-applicable-to-contractual-obligations-and-non-contractual-obligations-amendment-etc-eu-exit-regulations-2018</w:t>
        </w:r>
      </w:hyperlink>
      <w:r>
        <w:t xml:space="preserve"> </w:t>
      </w:r>
      <w:r w:rsidRPr="00E95E5D">
        <w:t xml:space="preserve"> </w:t>
      </w:r>
      <w:r>
        <w:t xml:space="preserve"> </w:t>
      </w:r>
    </w:p>
    <w:p w14:paraId="0DB0C0D0" w14:textId="77777777" w:rsidR="00E95E5D" w:rsidRPr="00E95E5D" w:rsidRDefault="00E95E5D" w:rsidP="00E95E5D">
      <w:pPr>
        <w:pStyle w:val="ListParagraph"/>
        <w:spacing w:after="0"/>
        <w:ind w:left="0" w:right="567"/>
      </w:pPr>
    </w:p>
    <w:p w14:paraId="50E199A5" w14:textId="77777777" w:rsidR="00E95E5D" w:rsidRPr="00E95E5D" w:rsidRDefault="00E95E5D" w:rsidP="00E95E5D">
      <w:pPr>
        <w:pStyle w:val="ListParagraph"/>
        <w:spacing w:after="0"/>
        <w:ind w:left="0" w:right="567"/>
        <w:rPr>
          <w:b/>
        </w:rPr>
      </w:pPr>
      <w:r w:rsidRPr="00E95E5D">
        <w:rPr>
          <w:b/>
        </w:rPr>
        <w:t>The Cross-Border Mediation (EU Directive) (EU Exit) Regulations 2018</w:t>
      </w:r>
    </w:p>
    <w:p w14:paraId="79D01D9D" w14:textId="77777777" w:rsidR="00E95E5D" w:rsidRPr="00E95E5D" w:rsidRDefault="00E95E5D" w:rsidP="00E95E5D">
      <w:pPr>
        <w:pStyle w:val="ListParagraph"/>
        <w:spacing w:after="0"/>
        <w:ind w:left="0" w:right="567"/>
      </w:pPr>
      <w:r w:rsidRPr="00E95E5D">
        <w:t xml:space="preserve">The Mediation Directive seeks to </w:t>
      </w:r>
      <w:proofErr w:type="spellStart"/>
      <w:r w:rsidRPr="00E95E5D">
        <w:t>harmonise</w:t>
      </w:r>
      <w:proofErr w:type="spellEnd"/>
      <w:r w:rsidRPr="00E95E5D">
        <w:t xml:space="preserve"> certain aspects of mediation in relation to EU cross-border disputes, with the aim of promoting its use in those EU cross-border disputes. A cross-border dispute can be a dispute between people who are domiciled or habitually resident in two or more different Member States (for example, contract, debt, contact with children) or it can be a dispute where the judicial proceedings or arbitration following mediation between the parties are started in a Member State other than one where the parties are domiciled or habitually resident. For the purposes of the Mediation Directive, Denmark is not included in the term “Member State”.</w:t>
      </w:r>
    </w:p>
    <w:p w14:paraId="400D0599" w14:textId="67B5FE9B" w:rsidR="00E95E5D" w:rsidRPr="00E95E5D" w:rsidRDefault="00E95E5D" w:rsidP="00E95E5D">
      <w:pPr>
        <w:pStyle w:val="ListParagraph"/>
        <w:spacing w:after="0"/>
        <w:ind w:left="0" w:right="567"/>
      </w:pPr>
      <w:hyperlink r:id="rId9" w:history="1">
        <w:r w:rsidRPr="001325E5">
          <w:rPr>
            <w:rStyle w:val="Hyperlink"/>
          </w:rPr>
          <w:t>https://www.gov.uk/eu-withdrawal-act-2018-statutory-instruments/the-cross-border-mediation-eu-directive-eu-exit-regulations-2018</w:t>
        </w:r>
      </w:hyperlink>
      <w:r>
        <w:t xml:space="preserve"> </w:t>
      </w:r>
    </w:p>
    <w:p w14:paraId="4E9C9845" w14:textId="77777777" w:rsidR="00E95E5D" w:rsidRPr="00E95E5D" w:rsidRDefault="00E95E5D" w:rsidP="00E95E5D">
      <w:pPr>
        <w:pStyle w:val="ListParagraph"/>
        <w:spacing w:after="0"/>
        <w:ind w:left="0" w:right="567"/>
      </w:pPr>
    </w:p>
    <w:p w14:paraId="688A792A" w14:textId="77777777" w:rsidR="00E95E5D" w:rsidRPr="00E95E5D" w:rsidRDefault="00E95E5D" w:rsidP="00E95E5D">
      <w:pPr>
        <w:pStyle w:val="ListParagraph"/>
        <w:spacing w:after="0"/>
        <w:ind w:left="0" w:right="567"/>
      </w:pPr>
    </w:p>
    <w:p w14:paraId="235721E4" w14:textId="77777777" w:rsidR="00E95E5D" w:rsidRPr="00E95E5D" w:rsidRDefault="00E95E5D" w:rsidP="00E95E5D">
      <w:pPr>
        <w:pStyle w:val="ListParagraph"/>
        <w:spacing w:after="0"/>
        <w:ind w:left="0" w:right="567"/>
        <w:rPr>
          <w:b/>
        </w:rPr>
      </w:pPr>
      <w:r w:rsidRPr="00E95E5D">
        <w:rPr>
          <w:b/>
        </w:rPr>
        <w:t xml:space="preserve">The European Enforcement Order, European Order for Payment and European Small Claims Procedure (Amendment etc.) (EU Exit) Regulations 2018 </w:t>
      </w:r>
    </w:p>
    <w:p w14:paraId="60BBF54D" w14:textId="77777777" w:rsidR="00E95E5D" w:rsidRPr="00E95E5D" w:rsidRDefault="00E95E5D" w:rsidP="00E95E5D">
      <w:pPr>
        <w:pStyle w:val="ListParagraph"/>
        <w:spacing w:after="0"/>
        <w:ind w:left="0" w:right="567"/>
      </w:pPr>
      <w:r w:rsidRPr="00E95E5D">
        <w:t xml:space="preserve">This instrument revokes the following three Regulations once they have become retained EU law, and variously amends and revokes related EU amending measures and domestic legislation: Regulation (EC) No. 805/2004 of the European Parliament and of the Council of 21 April 2004 creating a European Enforcement Order for uncontested claims (the EEO Regulation); Regulation (EC) No. 1896/2006 of the European Parliament and of the Council of 12 December 2006 creating a European order for payment procedure (EOP Regulation); and Regulation (EC) No. 861/2007 of the European Parliament and of the Council of 11 July 2007 establishing a European Small Claims Procedure (ESCP Regulation) </w:t>
      </w:r>
    </w:p>
    <w:p w14:paraId="25BE8422" w14:textId="660F725B" w:rsidR="00E95E5D" w:rsidRPr="00E95E5D" w:rsidRDefault="00E95E5D" w:rsidP="00E95E5D">
      <w:pPr>
        <w:pStyle w:val="ListParagraph"/>
        <w:spacing w:after="0"/>
        <w:ind w:left="0" w:right="567"/>
      </w:pPr>
      <w:hyperlink r:id="rId10" w:history="1">
        <w:r w:rsidRPr="001325E5">
          <w:rPr>
            <w:rStyle w:val="Hyperlink"/>
          </w:rPr>
          <w:t>https://www.gov.uk/eu-withdrawal-act-2018-statutory-instruments/the-european-enforcement-order-european-order-for-payment-and-european-small-claims-procedure-amendment-etc-eu-exit-regulations-2018</w:t>
        </w:r>
      </w:hyperlink>
      <w:r>
        <w:t xml:space="preserve"> </w:t>
      </w:r>
    </w:p>
    <w:p w14:paraId="18DFDB2E" w14:textId="77777777" w:rsidR="00E95E5D" w:rsidRPr="00E95E5D" w:rsidRDefault="00E95E5D" w:rsidP="00E95E5D">
      <w:pPr>
        <w:pStyle w:val="ListParagraph"/>
        <w:spacing w:after="0"/>
        <w:ind w:left="0" w:right="567"/>
      </w:pPr>
    </w:p>
    <w:p w14:paraId="5EE82A7B" w14:textId="77777777" w:rsidR="00E95E5D" w:rsidRPr="00E95E5D" w:rsidRDefault="00E95E5D" w:rsidP="00E95E5D">
      <w:pPr>
        <w:pStyle w:val="ListParagraph"/>
        <w:spacing w:after="0"/>
        <w:ind w:left="0" w:right="567"/>
      </w:pPr>
      <w:r w:rsidRPr="00E95E5D">
        <w:t xml:space="preserve">The Service of Documents and Taking of Evidence in Civil and Commercial Matters (Revocation and Saving Provisions) (EU Exit) Regulations 2018 </w:t>
      </w:r>
    </w:p>
    <w:p w14:paraId="0BB2A86C" w14:textId="77777777" w:rsidR="00E95E5D" w:rsidRPr="00E95E5D" w:rsidRDefault="00E95E5D" w:rsidP="00E95E5D">
      <w:pPr>
        <w:pStyle w:val="ListParagraph"/>
        <w:spacing w:after="0"/>
        <w:ind w:left="0" w:right="567"/>
      </w:pPr>
      <w:r w:rsidRPr="00E95E5D">
        <w:t xml:space="preserve">This Statutory Instrument revokes Regulation 1393/2007 of the European Parliament and of the Council of 13 November 2007 on the service in the Member States of judicial and extrajudicial documents in civil or commercial matters (service of documents), and repealing Council Regulation (EC) No 1348/2000 (the Service Regulation); and Council Regulation (EC) No 1206/2001 of 28 May 2001 on cooperation between the </w:t>
      </w:r>
      <w:r w:rsidRPr="00E95E5D">
        <w:lastRenderedPageBreak/>
        <w:t xml:space="preserve">courts of the Member States in the taking of evidence in civil or commercial matters (the Evidence Regulation), once they have become retained EU law. It also provides for the cessation of the rights, etc. deriving from the Agreement between the European Community and the Kingdom of Denmark on the service of judicial and extrajudicial documents in civil and commercial matters (the Denmark Service Agreement) and revokes two Scottish Statutory Instruments relevant to the Service Regulation and two EU Council decisions relevant to the Denmark Service Agreement. It also makes provision for savings and transitional matters. </w:t>
      </w:r>
    </w:p>
    <w:p w14:paraId="5FF3F4C0" w14:textId="20F2DB31" w:rsidR="00E95E5D" w:rsidRPr="00E95E5D" w:rsidRDefault="00E95E5D" w:rsidP="00E95E5D">
      <w:pPr>
        <w:pStyle w:val="ListParagraph"/>
        <w:spacing w:after="0"/>
        <w:ind w:left="0" w:right="567"/>
      </w:pPr>
      <w:hyperlink r:id="rId11" w:history="1">
        <w:r w:rsidRPr="001325E5">
          <w:rPr>
            <w:rStyle w:val="Hyperlink"/>
          </w:rPr>
          <w:t>https://www.gov.uk/eu-withdrawal-act-2018-statutory-instruments/the-service-of-documents-and-taking-of-evidence-in-civil-and-commercial-matters-revocation-and-saving-provisions-eu-exit-regulations-2018</w:t>
        </w:r>
      </w:hyperlink>
      <w:r>
        <w:t xml:space="preserve"> </w:t>
      </w:r>
    </w:p>
    <w:p w14:paraId="2D014876" w14:textId="77777777" w:rsidR="00E95E5D" w:rsidRPr="00E95E5D" w:rsidRDefault="00E95E5D" w:rsidP="00E95E5D">
      <w:pPr>
        <w:pStyle w:val="ListParagraph"/>
        <w:spacing w:after="0"/>
        <w:ind w:left="0" w:right="567"/>
      </w:pPr>
    </w:p>
    <w:p w14:paraId="2545A120" w14:textId="77777777" w:rsidR="00E95E5D" w:rsidRPr="00E95E5D" w:rsidRDefault="00E95E5D" w:rsidP="00E95E5D">
      <w:pPr>
        <w:pStyle w:val="ListParagraph"/>
        <w:spacing w:after="0"/>
        <w:ind w:left="0" w:right="567"/>
      </w:pPr>
      <w:r w:rsidRPr="00E95E5D">
        <w:t>Hague Choice of Court:</w:t>
      </w:r>
    </w:p>
    <w:p w14:paraId="53D6E2BA" w14:textId="3378FDCF" w:rsidR="00E95E5D" w:rsidRPr="00E95E5D" w:rsidRDefault="00E95E5D" w:rsidP="00E95E5D">
      <w:pPr>
        <w:pStyle w:val="ListParagraph"/>
        <w:spacing w:after="0"/>
        <w:ind w:left="0" w:right="567"/>
      </w:pPr>
      <w:hyperlink r:id="rId12" w:history="1">
        <w:r w:rsidRPr="001325E5">
          <w:rPr>
            <w:rStyle w:val="Hyperlink"/>
          </w:rPr>
          <w:t>https://www.gov.uk/eu-withdrawal-act-2018-statutory-instruments/the-civil-jurisdiction-and-judgments-hague-convention-on-choice-of-court-agreements-2005-eu-exit-regulations-2018</w:t>
        </w:r>
      </w:hyperlink>
      <w:r>
        <w:t xml:space="preserve"> </w:t>
      </w:r>
      <w:r w:rsidRPr="00E95E5D">
        <w:t xml:space="preserve"> </w:t>
      </w:r>
      <w:r>
        <w:t xml:space="preserve"> </w:t>
      </w:r>
    </w:p>
    <w:p w14:paraId="75C4ED08" w14:textId="77777777" w:rsidR="00E95E5D" w:rsidRPr="00E95E5D" w:rsidRDefault="00E95E5D" w:rsidP="00E95E5D">
      <w:pPr>
        <w:pStyle w:val="ListParagraph"/>
        <w:spacing w:after="0"/>
        <w:ind w:left="0" w:right="567"/>
      </w:pPr>
    </w:p>
    <w:p w14:paraId="1EC64897" w14:textId="77777777" w:rsidR="00E95E5D" w:rsidRPr="00E95E5D" w:rsidRDefault="00E95E5D" w:rsidP="00E95E5D">
      <w:pPr>
        <w:pStyle w:val="ListParagraph"/>
        <w:spacing w:after="0"/>
        <w:ind w:left="0" w:right="567"/>
      </w:pPr>
      <w:r w:rsidRPr="00E95E5D">
        <w:t>Hague Maintenance:</w:t>
      </w:r>
    </w:p>
    <w:p w14:paraId="37DB85EC" w14:textId="387FD22D" w:rsidR="00E95E5D" w:rsidRPr="00E95E5D" w:rsidRDefault="00E95E5D" w:rsidP="00E95E5D">
      <w:pPr>
        <w:pStyle w:val="ListParagraph"/>
        <w:spacing w:after="0"/>
        <w:ind w:left="0" w:right="567"/>
      </w:pPr>
      <w:hyperlink r:id="rId13" w:history="1">
        <w:r w:rsidRPr="001325E5">
          <w:rPr>
            <w:rStyle w:val="Hyperlink"/>
          </w:rPr>
          <w:t>https://www.gov.uk/eu-withdrawal-act-2018-statutory-instruments/the-international-recovery-of-maintenance-hague-convention-on-the-international-recovery-of-child-support-and-other-forms-of-family-maintenance-2007-eu-exit-regulations-2018</w:t>
        </w:r>
      </w:hyperlink>
      <w:r>
        <w:t xml:space="preserve"> </w:t>
      </w:r>
    </w:p>
    <w:p w14:paraId="7BAD89FE" w14:textId="77777777" w:rsidR="00E95E5D" w:rsidRPr="00E95E5D" w:rsidRDefault="00E95E5D" w:rsidP="00E95E5D">
      <w:pPr>
        <w:pStyle w:val="ListParagraph"/>
        <w:spacing w:after="0"/>
        <w:ind w:left="0" w:right="567"/>
      </w:pPr>
    </w:p>
    <w:p w14:paraId="02D02B4B" w14:textId="72821E7D" w:rsidR="00E95E5D" w:rsidRPr="00E95E5D" w:rsidRDefault="00E95E5D" w:rsidP="00E95E5D">
      <w:pPr>
        <w:pStyle w:val="ListParagraph"/>
        <w:spacing w:after="0"/>
        <w:ind w:left="0" w:right="567"/>
      </w:pPr>
      <w:r w:rsidRPr="00E95E5D">
        <w:t xml:space="preserve">Instrument not in the competence of the Civil Justice Unit:  </w:t>
      </w:r>
      <w:hyperlink r:id="rId14" w:history="1">
        <w:r w:rsidRPr="001325E5">
          <w:rPr>
            <w:rStyle w:val="Hyperlink"/>
          </w:rPr>
          <w:t>https://www.gov.uk/eu-withdrawal-act-2018-statutory-instruments/the-mutual-recognition-of-protection-measures-in-civil-matters-amendment-eu-exit-regulations-2018</w:t>
        </w:r>
      </w:hyperlink>
      <w:r>
        <w:t xml:space="preserve"> </w:t>
      </w:r>
      <w:r w:rsidRPr="00E95E5D">
        <w:t xml:space="preserve"> </w:t>
      </w:r>
    </w:p>
    <w:p w14:paraId="07199233" w14:textId="77777777" w:rsidR="00E95E5D" w:rsidRPr="00E95E5D" w:rsidRDefault="00E95E5D" w:rsidP="00E95E5D">
      <w:pPr>
        <w:pStyle w:val="ListParagraph"/>
        <w:spacing w:after="0"/>
        <w:ind w:left="0" w:right="567"/>
      </w:pPr>
    </w:p>
    <w:p w14:paraId="571CB783" w14:textId="77777777" w:rsidR="00E95E5D" w:rsidRPr="00E95E5D" w:rsidRDefault="00E95E5D" w:rsidP="00E95E5D">
      <w:pPr>
        <w:pStyle w:val="ListParagraph"/>
        <w:spacing w:after="0"/>
        <w:ind w:left="0" w:right="567"/>
      </w:pPr>
      <w:r w:rsidRPr="00E95E5D">
        <w:t>UK Guidance notices:</w:t>
      </w:r>
    </w:p>
    <w:p w14:paraId="03B90545" w14:textId="77777777" w:rsidR="00E95E5D" w:rsidRPr="00E95E5D" w:rsidRDefault="00E95E5D" w:rsidP="00E95E5D">
      <w:pPr>
        <w:pStyle w:val="ListParagraph"/>
        <w:spacing w:after="0"/>
        <w:ind w:left="0" w:right="567"/>
      </w:pPr>
    </w:p>
    <w:p w14:paraId="6C0BD206" w14:textId="77777777" w:rsidR="00E95E5D" w:rsidRPr="00E95E5D" w:rsidRDefault="00E95E5D" w:rsidP="00E95E5D">
      <w:pPr>
        <w:pStyle w:val="ListParagraph"/>
        <w:spacing w:after="0"/>
        <w:ind w:left="0" w:right="567"/>
      </w:pPr>
      <w:r w:rsidRPr="00E95E5D">
        <w:t xml:space="preserve">Handling of civil legal cases – 13 September 2018 </w:t>
      </w:r>
    </w:p>
    <w:p w14:paraId="1C852598" w14:textId="77777777" w:rsidR="00E95E5D" w:rsidRPr="00E95E5D" w:rsidRDefault="00E95E5D" w:rsidP="00E95E5D">
      <w:pPr>
        <w:pStyle w:val="ListParagraph"/>
        <w:spacing w:after="0"/>
        <w:ind w:left="0" w:right="567"/>
      </w:pPr>
    </w:p>
    <w:p w14:paraId="3B0003F9" w14:textId="1626CA2F" w:rsidR="00E95E5D" w:rsidRPr="00E95E5D" w:rsidRDefault="00E95E5D" w:rsidP="00E95E5D">
      <w:pPr>
        <w:pStyle w:val="ListParagraph"/>
        <w:spacing w:after="0"/>
        <w:ind w:left="0" w:right="567"/>
      </w:pPr>
      <w:hyperlink r:id="rId15" w:history="1">
        <w:r w:rsidRPr="001325E5">
          <w:rPr>
            <w:rStyle w:val="Hyperlink"/>
          </w:rPr>
          <w:t>https://www.gov.uk/government/publications/handling-civil-legal-cases-that-involve-eu-countries-if-theres-no-brexit-deal/handling-civil-legal-cases-that-involve-eu-countries-if-theres-no-brexit-deal</w:t>
        </w:r>
      </w:hyperlink>
      <w:r>
        <w:t xml:space="preserve"> </w:t>
      </w:r>
      <w:r w:rsidRPr="00E95E5D">
        <w:t xml:space="preserve"> </w:t>
      </w:r>
    </w:p>
    <w:p w14:paraId="0AA53370" w14:textId="77777777" w:rsidR="00E95E5D" w:rsidRPr="00E95E5D" w:rsidRDefault="00E95E5D" w:rsidP="00E95E5D">
      <w:pPr>
        <w:pStyle w:val="ListParagraph"/>
        <w:spacing w:after="0"/>
        <w:ind w:left="0" w:right="567"/>
      </w:pPr>
    </w:p>
    <w:p w14:paraId="7EB30A34" w14:textId="77777777" w:rsidR="00E95E5D" w:rsidRPr="00E95E5D" w:rsidRDefault="00E95E5D" w:rsidP="00E95E5D">
      <w:pPr>
        <w:pStyle w:val="ListParagraph"/>
        <w:spacing w:after="0"/>
        <w:ind w:left="0" w:right="567"/>
      </w:pPr>
      <w:r w:rsidRPr="00E95E5D">
        <w:t xml:space="preserve">Family law </w:t>
      </w:r>
      <w:proofErr w:type="gramStart"/>
      <w:r w:rsidRPr="00E95E5D">
        <w:t>–  6</w:t>
      </w:r>
      <w:proofErr w:type="gramEnd"/>
      <w:r w:rsidRPr="00E95E5D">
        <w:t xml:space="preserve"> February 2019</w:t>
      </w:r>
    </w:p>
    <w:p w14:paraId="359B67C6" w14:textId="77777777" w:rsidR="00E95E5D" w:rsidRPr="00E95E5D" w:rsidRDefault="00E95E5D" w:rsidP="00E95E5D">
      <w:pPr>
        <w:pStyle w:val="ListParagraph"/>
        <w:spacing w:after="0"/>
        <w:ind w:left="0" w:right="567"/>
      </w:pPr>
    </w:p>
    <w:p w14:paraId="6037E68C" w14:textId="2B376DFC" w:rsidR="0097455E" w:rsidRPr="00E95E5D" w:rsidRDefault="00E95E5D" w:rsidP="00E95E5D">
      <w:pPr>
        <w:pStyle w:val="ListParagraph"/>
        <w:spacing w:after="0"/>
        <w:ind w:left="0" w:right="567"/>
      </w:pPr>
      <w:hyperlink r:id="rId16" w:history="1">
        <w:r w:rsidRPr="001325E5">
          <w:rPr>
            <w:rStyle w:val="Hyperlink"/>
          </w:rPr>
          <w:t>https://www.gov.uk/government/publications/family-law-disputes-involving-eu-after-brexit?utm_source=cf23e632-1a75-4f60-a3b3-02927d66000d&amp;utm_medium=email&amp;utm_campaign=govuk-notifications&amp;utm_content=immediate</w:t>
        </w:r>
      </w:hyperlink>
      <w:r>
        <w:t xml:space="preserve"> </w:t>
      </w:r>
      <w:bookmarkStart w:id="0" w:name="_GoBack"/>
      <w:bookmarkEnd w:id="0"/>
    </w:p>
    <w:sectPr w:rsidR="0097455E" w:rsidRPr="00E95E5D" w:rsidSect="00E80D5E">
      <w:headerReference w:type="default" r:id="rId17"/>
      <w:footerReference w:type="default" r:id="rId18"/>
      <w:headerReference w:type="first" r:id="rId19"/>
      <w:footerReference w:type="first" r:id="rId20"/>
      <w:pgSz w:w="11900" w:h="16840"/>
      <w:pgMar w:top="1418" w:right="567" w:bottom="1418" w:left="2268" w:header="567" w:footer="50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452468" w14:textId="77777777" w:rsidR="009E5070" w:rsidRDefault="009E5070" w:rsidP="00CD5B3B">
      <w:r>
        <w:separator/>
      </w:r>
    </w:p>
  </w:endnote>
  <w:endnote w:type="continuationSeparator" w:id="0">
    <w:p w14:paraId="65F9542C" w14:textId="77777777" w:rsidR="009E5070" w:rsidRDefault="009E5070"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Founder Extended)">
    <w:altName w:val="Microsoft YaHei"/>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F025C" w14:textId="77777777" w:rsidR="00E80D5E" w:rsidRPr="00763EB6" w:rsidRDefault="00E80D5E" w:rsidP="00E80D5E">
    <w:pPr>
      <w:pStyle w:val="Footer"/>
      <w:ind w:left="0"/>
      <w:rPr>
        <w:sz w:val="14"/>
        <w:szCs w:val="14"/>
        <w:lang w:val="es-E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1961B" w14:textId="77777777" w:rsidR="00E80D5E" w:rsidRPr="00763EB6" w:rsidRDefault="00E80D5E" w:rsidP="00036CF6">
    <w:pPr>
      <w:pStyle w:val="Footer"/>
      <w:ind w:left="0"/>
      <w:rPr>
        <w:sz w:val="14"/>
        <w:szCs w:val="14"/>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5994A3" w14:textId="77777777" w:rsidR="009E5070" w:rsidRDefault="009E5070" w:rsidP="00CD5B3B">
      <w:r>
        <w:separator/>
      </w:r>
    </w:p>
  </w:footnote>
  <w:footnote w:type="continuationSeparator" w:id="0">
    <w:p w14:paraId="4B647BCE" w14:textId="77777777" w:rsidR="009E5070" w:rsidRDefault="009E5070" w:rsidP="00CD5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09A27" w14:textId="77777777" w:rsidR="0094530E" w:rsidRDefault="0094530E" w:rsidP="008A4458">
    <w:pPr>
      <w:pStyle w:val="Header"/>
      <w:ind w:left="0"/>
    </w:pPr>
  </w:p>
  <w:p w14:paraId="46F6B88A" w14:textId="77777777" w:rsidR="00E80D5E" w:rsidRPr="00CD5B3B" w:rsidRDefault="00E80D5E" w:rsidP="008A4458">
    <w:pPr>
      <w:pStyle w:val="Header"/>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FECA5" w14:textId="77777777" w:rsidR="00E80D5E" w:rsidRDefault="00E80D5E" w:rsidP="002B2D08">
    <w:pPr>
      <w:pStyle w:val="Header"/>
      <w:spacing w:after="0"/>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85A1A"/>
    <w:multiLevelType w:val="hybridMultilevel"/>
    <w:tmpl w:val="5656BC5E"/>
    <w:lvl w:ilvl="0" w:tplc="88327B3E">
      <w:start w:val="1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86554"/>
    <w:multiLevelType w:val="hybridMultilevel"/>
    <w:tmpl w:val="7964511A"/>
    <w:lvl w:ilvl="0" w:tplc="7C02C566">
      <w:numFmt w:val="bullet"/>
      <w:lvlText w:val="-"/>
      <w:lvlJc w:val="left"/>
      <w:pPr>
        <w:ind w:left="927" w:hanging="360"/>
      </w:pPr>
      <w:rPr>
        <w:rFonts w:ascii="Arial" w:eastAsia="Simsun (Founder Extended)"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20F20EDF"/>
    <w:multiLevelType w:val="hybridMultilevel"/>
    <w:tmpl w:val="BE1E119C"/>
    <w:lvl w:ilvl="0" w:tplc="066CC33E">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07044C"/>
    <w:multiLevelType w:val="hybridMultilevel"/>
    <w:tmpl w:val="1390C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F424D0"/>
    <w:multiLevelType w:val="multilevel"/>
    <w:tmpl w:val="48741C5E"/>
    <w:name w:val="Points"/>
    <w:lvl w:ilvl="0">
      <w:start w:val="1"/>
      <w:numFmt w:val="decimal"/>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5" w15:restartNumberingAfterBreak="0">
    <w:nsid w:val="3C8F727A"/>
    <w:multiLevelType w:val="hybridMultilevel"/>
    <w:tmpl w:val="0EC4E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DB56F7"/>
    <w:multiLevelType w:val="hybridMultilevel"/>
    <w:tmpl w:val="D0C25DF0"/>
    <w:lvl w:ilvl="0" w:tplc="89CE3C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375E23"/>
    <w:multiLevelType w:val="hybridMultilevel"/>
    <w:tmpl w:val="B1F47B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6230FD"/>
    <w:multiLevelType w:val="hybridMultilevel"/>
    <w:tmpl w:val="E82EEDBA"/>
    <w:lvl w:ilvl="0" w:tplc="A71ED9B8">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7F33FB"/>
    <w:multiLevelType w:val="hybridMultilevel"/>
    <w:tmpl w:val="198C551A"/>
    <w:lvl w:ilvl="0" w:tplc="8E88790A">
      <w:start w:val="9"/>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04524F"/>
    <w:multiLevelType w:val="hybridMultilevel"/>
    <w:tmpl w:val="F816FD4A"/>
    <w:lvl w:ilvl="0" w:tplc="E3782BD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EF7988"/>
    <w:multiLevelType w:val="hybridMultilevel"/>
    <w:tmpl w:val="6A4EB8F6"/>
    <w:lvl w:ilvl="0" w:tplc="CDFCF4C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5B8A15BA"/>
    <w:multiLevelType w:val="hybridMultilevel"/>
    <w:tmpl w:val="21E4A6FA"/>
    <w:lvl w:ilvl="0" w:tplc="59DCE26E">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A85BF1"/>
    <w:multiLevelType w:val="hybridMultilevel"/>
    <w:tmpl w:val="9E84A57C"/>
    <w:lvl w:ilvl="0" w:tplc="03461136">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5D606E28"/>
    <w:multiLevelType w:val="hybridMultilevel"/>
    <w:tmpl w:val="7744D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C179DA"/>
    <w:multiLevelType w:val="hybridMultilevel"/>
    <w:tmpl w:val="27125BA4"/>
    <w:lvl w:ilvl="0" w:tplc="275C386E">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EE5386"/>
    <w:multiLevelType w:val="hybridMultilevel"/>
    <w:tmpl w:val="0D1C624A"/>
    <w:lvl w:ilvl="0" w:tplc="D758DFB0">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367D85"/>
    <w:multiLevelType w:val="hybridMultilevel"/>
    <w:tmpl w:val="73120094"/>
    <w:lvl w:ilvl="0" w:tplc="0D62EEB0">
      <w:start w:val="1"/>
      <w:numFmt w:val="bullet"/>
      <w:lvlText w:val="-"/>
      <w:lvlJc w:val="left"/>
      <w:pPr>
        <w:ind w:left="1080" w:hanging="360"/>
      </w:pPr>
      <w:rPr>
        <w:rFonts w:ascii="Trebuchet MS" w:eastAsia="MS Mincho" w:hAnsi="Trebuchet M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EDA7F98"/>
    <w:multiLevelType w:val="hybridMultilevel"/>
    <w:tmpl w:val="340E80F6"/>
    <w:lvl w:ilvl="0" w:tplc="CDEA477E">
      <w:start w:val="8"/>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960550"/>
    <w:multiLevelType w:val="hybridMultilevel"/>
    <w:tmpl w:val="76D8A2BC"/>
    <w:lvl w:ilvl="0" w:tplc="25D47B8E">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611D8C"/>
    <w:multiLevelType w:val="hybridMultilevel"/>
    <w:tmpl w:val="9892A4EC"/>
    <w:lvl w:ilvl="0" w:tplc="09903CB0">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2"/>
  </w:num>
  <w:num w:numId="4">
    <w:abstractNumId w:val="8"/>
  </w:num>
  <w:num w:numId="5">
    <w:abstractNumId w:val="18"/>
  </w:num>
  <w:num w:numId="6">
    <w:abstractNumId w:val="15"/>
  </w:num>
  <w:num w:numId="7">
    <w:abstractNumId w:val="9"/>
  </w:num>
  <w:num w:numId="8">
    <w:abstractNumId w:val="0"/>
  </w:num>
  <w:num w:numId="9">
    <w:abstractNumId w:val="1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9"/>
  </w:num>
  <w:num w:numId="13">
    <w:abstractNumId w:val="6"/>
  </w:num>
  <w:num w:numId="14">
    <w:abstractNumId w:val="14"/>
  </w:num>
  <w:num w:numId="15">
    <w:abstractNumId w:val="3"/>
  </w:num>
  <w:num w:numId="16">
    <w:abstractNumId w:val="5"/>
  </w:num>
  <w:num w:numId="17">
    <w:abstractNumId w:val="10"/>
  </w:num>
  <w:num w:numId="18">
    <w:abstractNumId w:val="7"/>
  </w:num>
  <w:num w:numId="19">
    <w:abstractNumId w:val="11"/>
  </w:num>
  <w:num w:numId="20">
    <w:abstractNumId w:val="13"/>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F2C"/>
    <w:rsid w:val="000103AB"/>
    <w:rsid w:val="00011179"/>
    <w:rsid w:val="000142D2"/>
    <w:rsid w:val="00023330"/>
    <w:rsid w:val="00031FB2"/>
    <w:rsid w:val="00036CF6"/>
    <w:rsid w:val="000454F3"/>
    <w:rsid w:val="00055136"/>
    <w:rsid w:val="00062F66"/>
    <w:rsid w:val="000663C7"/>
    <w:rsid w:val="00073A70"/>
    <w:rsid w:val="0007651F"/>
    <w:rsid w:val="00080347"/>
    <w:rsid w:val="00091F9B"/>
    <w:rsid w:val="00097EB3"/>
    <w:rsid w:val="000A56E0"/>
    <w:rsid w:val="000B1C48"/>
    <w:rsid w:val="000C1572"/>
    <w:rsid w:val="000C5D17"/>
    <w:rsid w:val="000D0DF2"/>
    <w:rsid w:val="000D1F94"/>
    <w:rsid w:val="000D39FA"/>
    <w:rsid w:val="000E454A"/>
    <w:rsid w:val="000F1D8C"/>
    <w:rsid w:val="000F76D5"/>
    <w:rsid w:val="00100F36"/>
    <w:rsid w:val="00104E9F"/>
    <w:rsid w:val="001230DA"/>
    <w:rsid w:val="0012496F"/>
    <w:rsid w:val="001251F2"/>
    <w:rsid w:val="00126C55"/>
    <w:rsid w:val="001276BB"/>
    <w:rsid w:val="00131D99"/>
    <w:rsid w:val="001370E1"/>
    <w:rsid w:val="00143BBE"/>
    <w:rsid w:val="00145D18"/>
    <w:rsid w:val="00146DEA"/>
    <w:rsid w:val="0015054A"/>
    <w:rsid w:val="00153C7E"/>
    <w:rsid w:val="00157447"/>
    <w:rsid w:val="00163297"/>
    <w:rsid w:val="001667D5"/>
    <w:rsid w:val="001673E9"/>
    <w:rsid w:val="00170265"/>
    <w:rsid w:val="0017311C"/>
    <w:rsid w:val="00190C61"/>
    <w:rsid w:val="00191A5E"/>
    <w:rsid w:val="00192220"/>
    <w:rsid w:val="00197658"/>
    <w:rsid w:val="001B3CCD"/>
    <w:rsid w:val="001C734A"/>
    <w:rsid w:val="001D60E0"/>
    <w:rsid w:val="001E167F"/>
    <w:rsid w:val="001F4742"/>
    <w:rsid w:val="001F6713"/>
    <w:rsid w:val="00200654"/>
    <w:rsid w:val="00210BF7"/>
    <w:rsid w:val="00210EA5"/>
    <w:rsid w:val="002117BA"/>
    <w:rsid w:val="00215DD4"/>
    <w:rsid w:val="00217B5E"/>
    <w:rsid w:val="00233245"/>
    <w:rsid w:val="002352B6"/>
    <w:rsid w:val="002430B5"/>
    <w:rsid w:val="00244724"/>
    <w:rsid w:val="002468CD"/>
    <w:rsid w:val="00246D5C"/>
    <w:rsid w:val="00251895"/>
    <w:rsid w:val="00263DB9"/>
    <w:rsid w:val="002642E7"/>
    <w:rsid w:val="00267B16"/>
    <w:rsid w:val="002A5742"/>
    <w:rsid w:val="002A74B6"/>
    <w:rsid w:val="002B2D08"/>
    <w:rsid w:val="002B4DDF"/>
    <w:rsid w:val="002C5F3B"/>
    <w:rsid w:val="002D2FF7"/>
    <w:rsid w:val="002E7998"/>
    <w:rsid w:val="002F479A"/>
    <w:rsid w:val="00304468"/>
    <w:rsid w:val="00314609"/>
    <w:rsid w:val="00320B55"/>
    <w:rsid w:val="0032367F"/>
    <w:rsid w:val="00325788"/>
    <w:rsid w:val="00326C01"/>
    <w:rsid w:val="00331D73"/>
    <w:rsid w:val="003358A0"/>
    <w:rsid w:val="00336015"/>
    <w:rsid w:val="00341137"/>
    <w:rsid w:val="003445C4"/>
    <w:rsid w:val="00354309"/>
    <w:rsid w:val="00362F2A"/>
    <w:rsid w:val="0036792A"/>
    <w:rsid w:val="00371949"/>
    <w:rsid w:val="0038308A"/>
    <w:rsid w:val="00391171"/>
    <w:rsid w:val="003961F8"/>
    <w:rsid w:val="003A42EA"/>
    <w:rsid w:val="003B7109"/>
    <w:rsid w:val="003B7EF9"/>
    <w:rsid w:val="003C6554"/>
    <w:rsid w:val="003D0449"/>
    <w:rsid w:val="003D523E"/>
    <w:rsid w:val="003D5AD7"/>
    <w:rsid w:val="003E4E36"/>
    <w:rsid w:val="003F08B0"/>
    <w:rsid w:val="003F15EE"/>
    <w:rsid w:val="003F5CEC"/>
    <w:rsid w:val="004026BF"/>
    <w:rsid w:val="00407AE0"/>
    <w:rsid w:val="004123D8"/>
    <w:rsid w:val="00423CD5"/>
    <w:rsid w:val="00433202"/>
    <w:rsid w:val="00433448"/>
    <w:rsid w:val="00444A34"/>
    <w:rsid w:val="004504FA"/>
    <w:rsid w:val="00471410"/>
    <w:rsid w:val="00471FDD"/>
    <w:rsid w:val="00473E72"/>
    <w:rsid w:val="00493AD5"/>
    <w:rsid w:val="00495AB5"/>
    <w:rsid w:val="00496469"/>
    <w:rsid w:val="00496627"/>
    <w:rsid w:val="004A4D5E"/>
    <w:rsid w:val="004B0E1A"/>
    <w:rsid w:val="004B42D0"/>
    <w:rsid w:val="004C6F2A"/>
    <w:rsid w:val="004D06E5"/>
    <w:rsid w:val="004D4A37"/>
    <w:rsid w:val="004E594D"/>
    <w:rsid w:val="004F0110"/>
    <w:rsid w:val="004F644F"/>
    <w:rsid w:val="0050084D"/>
    <w:rsid w:val="00510E98"/>
    <w:rsid w:val="00516380"/>
    <w:rsid w:val="00536147"/>
    <w:rsid w:val="00544CF7"/>
    <w:rsid w:val="005543CA"/>
    <w:rsid w:val="00555754"/>
    <w:rsid w:val="00555A5A"/>
    <w:rsid w:val="005570F6"/>
    <w:rsid w:val="00566602"/>
    <w:rsid w:val="005730D1"/>
    <w:rsid w:val="0057480C"/>
    <w:rsid w:val="00593DD4"/>
    <w:rsid w:val="005953C3"/>
    <w:rsid w:val="00595CE3"/>
    <w:rsid w:val="00597423"/>
    <w:rsid w:val="00597ED0"/>
    <w:rsid w:val="005A05AA"/>
    <w:rsid w:val="005B29BB"/>
    <w:rsid w:val="005B6FBB"/>
    <w:rsid w:val="005C7F32"/>
    <w:rsid w:val="005E14DF"/>
    <w:rsid w:val="005E1EA4"/>
    <w:rsid w:val="005E3983"/>
    <w:rsid w:val="005E48E1"/>
    <w:rsid w:val="005E6FFA"/>
    <w:rsid w:val="005F3C2A"/>
    <w:rsid w:val="00604DD4"/>
    <w:rsid w:val="00610893"/>
    <w:rsid w:val="00612E03"/>
    <w:rsid w:val="00613FFC"/>
    <w:rsid w:val="00627F10"/>
    <w:rsid w:val="00630C54"/>
    <w:rsid w:val="006322D7"/>
    <w:rsid w:val="00633D0A"/>
    <w:rsid w:val="00645A5D"/>
    <w:rsid w:val="0065346E"/>
    <w:rsid w:val="00661EEE"/>
    <w:rsid w:val="006629C8"/>
    <w:rsid w:val="00665734"/>
    <w:rsid w:val="00666957"/>
    <w:rsid w:val="0066705D"/>
    <w:rsid w:val="00676390"/>
    <w:rsid w:val="00677FEB"/>
    <w:rsid w:val="00680873"/>
    <w:rsid w:val="00685728"/>
    <w:rsid w:val="00687001"/>
    <w:rsid w:val="00691BB8"/>
    <w:rsid w:val="00695016"/>
    <w:rsid w:val="0069564D"/>
    <w:rsid w:val="006A263E"/>
    <w:rsid w:val="006B415F"/>
    <w:rsid w:val="006B528B"/>
    <w:rsid w:val="006C06B2"/>
    <w:rsid w:val="006D0E91"/>
    <w:rsid w:val="006D5FB6"/>
    <w:rsid w:val="006E164B"/>
    <w:rsid w:val="006E34F7"/>
    <w:rsid w:val="006E4C17"/>
    <w:rsid w:val="006F5CED"/>
    <w:rsid w:val="00716B68"/>
    <w:rsid w:val="00722B50"/>
    <w:rsid w:val="00722BEC"/>
    <w:rsid w:val="00725F2C"/>
    <w:rsid w:val="00727F84"/>
    <w:rsid w:val="0073262E"/>
    <w:rsid w:val="00740FE6"/>
    <w:rsid w:val="0075239F"/>
    <w:rsid w:val="00753592"/>
    <w:rsid w:val="00753BC2"/>
    <w:rsid w:val="00761AB4"/>
    <w:rsid w:val="00763EB6"/>
    <w:rsid w:val="007650BD"/>
    <w:rsid w:val="00766E0E"/>
    <w:rsid w:val="007778B4"/>
    <w:rsid w:val="00781892"/>
    <w:rsid w:val="007940FF"/>
    <w:rsid w:val="00797A62"/>
    <w:rsid w:val="007A61FB"/>
    <w:rsid w:val="007A6BF1"/>
    <w:rsid w:val="007C719D"/>
    <w:rsid w:val="007D3D67"/>
    <w:rsid w:val="007D5B8B"/>
    <w:rsid w:val="007F06D8"/>
    <w:rsid w:val="007F275F"/>
    <w:rsid w:val="007F4DD0"/>
    <w:rsid w:val="00805006"/>
    <w:rsid w:val="0080600A"/>
    <w:rsid w:val="008138AE"/>
    <w:rsid w:val="00831561"/>
    <w:rsid w:val="00835534"/>
    <w:rsid w:val="008500A7"/>
    <w:rsid w:val="0085309A"/>
    <w:rsid w:val="00853B70"/>
    <w:rsid w:val="00855DD4"/>
    <w:rsid w:val="00855FEB"/>
    <w:rsid w:val="00862ACE"/>
    <w:rsid w:val="00863C03"/>
    <w:rsid w:val="00864A68"/>
    <w:rsid w:val="00871DA8"/>
    <w:rsid w:val="00872801"/>
    <w:rsid w:val="00874CF0"/>
    <w:rsid w:val="00881F97"/>
    <w:rsid w:val="00883074"/>
    <w:rsid w:val="00884785"/>
    <w:rsid w:val="00886B53"/>
    <w:rsid w:val="00893066"/>
    <w:rsid w:val="00896375"/>
    <w:rsid w:val="008A2AC0"/>
    <w:rsid w:val="008A2E31"/>
    <w:rsid w:val="008A4458"/>
    <w:rsid w:val="008A5833"/>
    <w:rsid w:val="008B63B2"/>
    <w:rsid w:val="008B7FFD"/>
    <w:rsid w:val="008D48F8"/>
    <w:rsid w:val="008E47BB"/>
    <w:rsid w:val="008E5FE7"/>
    <w:rsid w:val="008F00FD"/>
    <w:rsid w:val="008F0F6C"/>
    <w:rsid w:val="008F5B2D"/>
    <w:rsid w:val="00905EF0"/>
    <w:rsid w:val="00915096"/>
    <w:rsid w:val="00915643"/>
    <w:rsid w:val="009163DE"/>
    <w:rsid w:val="0092065B"/>
    <w:rsid w:val="00943215"/>
    <w:rsid w:val="0094530E"/>
    <w:rsid w:val="00954B12"/>
    <w:rsid w:val="009665F5"/>
    <w:rsid w:val="00972E15"/>
    <w:rsid w:val="0097455E"/>
    <w:rsid w:val="00977664"/>
    <w:rsid w:val="00982C11"/>
    <w:rsid w:val="00986FFB"/>
    <w:rsid w:val="009A3DC0"/>
    <w:rsid w:val="009A6CDB"/>
    <w:rsid w:val="009C0367"/>
    <w:rsid w:val="009C3A60"/>
    <w:rsid w:val="009D0A92"/>
    <w:rsid w:val="009D1AC1"/>
    <w:rsid w:val="009D73D8"/>
    <w:rsid w:val="009E2DD8"/>
    <w:rsid w:val="009E5070"/>
    <w:rsid w:val="009E7609"/>
    <w:rsid w:val="00A00B13"/>
    <w:rsid w:val="00A23DA1"/>
    <w:rsid w:val="00A26634"/>
    <w:rsid w:val="00A300BB"/>
    <w:rsid w:val="00A56A75"/>
    <w:rsid w:val="00A7233B"/>
    <w:rsid w:val="00A7669D"/>
    <w:rsid w:val="00A8061A"/>
    <w:rsid w:val="00A8067F"/>
    <w:rsid w:val="00AA76EE"/>
    <w:rsid w:val="00AC420C"/>
    <w:rsid w:val="00AC44F8"/>
    <w:rsid w:val="00AC59A5"/>
    <w:rsid w:val="00AC63E0"/>
    <w:rsid w:val="00AC6790"/>
    <w:rsid w:val="00AE0A38"/>
    <w:rsid w:val="00AE26B4"/>
    <w:rsid w:val="00AE4D48"/>
    <w:rsid w:val="00AF233F"/>
    <w:rsid w:val="00B046AA"/>
    <w:rsid w:val="00B06390"/>
    <w:rsid w:val="00B0748B"/>
    <w:rsid w:val="00B13BB4"/>
    <w:rsid w:val="00B13E3F"/>
    <w:rsid w:val="00B1429E"/>
    <w:rsid w:val="00B20782"/>
    <w:rsid w:val="00B25513"/>
    <w:rsid w:val="00B307A0"/>
    <w:rsid w:val="00B35E3E"/>
    <w:rsid w:val="00B407A6"/>
    <w:rsid w:val="00B502C7"/>
    <w:rsid w:val="00B562EE"/>
    <w:rsid w:val="00B62B16"/>
    <w:rsid w:val="00B70A35"/>
    <w:rsid w:val="00B71F9C"/>
    <w:rsid w:val="00B72420"/>
    <w:rsid w:val="00B903CF"/>
    <w:rsid w:val="00BB479C"/>
    <w:rsid w:val="00BB7648"/>
    <w:rsid w:val="00BB7EAD"/>
    <w:rsid w:val="00BC7561"/>
    <w:rsid w:val="00BD394F"/>
    <w:rsid w:val="00BD4B4B"/>
    <w:rsid w:val="00BE203A"/>
    <w:rsid w:val="00BE56F6"/>
    <w:rsid w:val="00BE5AA1"/>
    <w:rsid w:val="00BE60A8"/>
    <w:rsid w:val="00BF1E82"/>
    <w:rsid w:val="00BF2B4A"/>
    <w:rsid w:val="00C05271"/>
    <w:rsid w:val="00C05F49"/>
    <w:rsid w:val="00C075D8"/>
    <w:rsid w:val="00C1515A"/>
    <w:rsid w:val="00C20EF1"/>
    <w:rsid w:val="00C31FF4"/>
    <w:rsid w:val="00C42640"/>
    <w:rsid w:val="00C514B6"/>
    <w:rsid w:val="00C518FF"/>
    <w:rsid w:val="00C54223"/>
    <w:rsid w:val="00C57543"/>
    <w:rsid w:val="00C6130D"/>
    <w:rsid w:val="00C676DE"/>
    <w:rsid w:val="00C82A75"/>
    <w:rsid w:val="00C83D7F"/>
    <w:rsid w:val="00C87667"/>
    <w:rsid w:val="00C9408B"/>
    <w:rsid w:val="00CB357E"/>
    <w:rsid w:val="00CB74DA"/>
    <w:rsid w:val="00CC0367"/>
    <w:rsid w:val="00CD0C6C"/>
    <w:rsid w:val="00CD0F06"/>
    <w:rsid w:val="00CD160F"/>
    <w:rsid w:val="00CD5B3B"/>
    <w:rsid w:val="00D02843"/>
    <w:rsid w:val="00D03818"/>
    <w:rsid w:val="00D06E9C"/>
    <w:rsid w:val="00D130D7"/>
    <w:rsid w:val="00D131C1"/>
    <w:rsid w:val="00D16DFD"/>
    <w:rsid w:val="00D21D1D"/>
    <w:rsid w:val="00D24827"/>
    <w:rsid w:val="00D274A0"/>
    <w:rsid w:val="00D27C4A"/>
    <w:rsid w:val="00D37D70"/>
    <w:rsid w:val="00D41836"/>
    <w:rsid w:val="00D435B8"/>
    <w:rsid w:val="00D51B63"/>
    <w:rsid w:val="00D5399F"/>
    <w:rsid w:val="00D54F0D"/>
    <w:rsid w:val="00D669B1"/>
    <w:rsid w:val="00D73836"/>
    <w:rsid w:val="00D7661E"/>
    <w:rsid w:val="00D86F1D"/>
    <w:rsid w:val="00DB36BE"/>
    <w:rsid w:val="00DC4D88"/>
    <w:rsid w:val="00DD2C71"/>
    <w:rsid w:val="00DD7F47"/>
    <w:rsid w:val="00DE3731"/>
    <w:rsid w:val="00DE7281"/>
    <w:rsid w:val="00DF1E7C"/>
    <w:rsid w:val="00DF4F66"/>
    <w:rsid w:val="00E010A9"/>
    <w:rsid w:val="00E02F38"/>
    <w:rsid w:val="00E03B0A"/>
    <w:rsid w:val="00E11BBC"/>
    <w:rsid w:val="00E31567"/>
    <w:rsid w:val="00E43727"/>
    <w:rsid w:val="00E45791"/>
    <w:rsid w:val="00E46AD6"/>
    <w:rsid w:val="00E51972"/>
    <w:rsid w:val="00E53B37"/>
    <w:rsid w:val="00E562FC"/>
    <w:rsid w:val="00E56BF1"/>
    <w:rsid w:val="00E57F17"/>
    <w:rsid w:val="00E6485E"/>
    <w:rsid w:val="00E73E98"/>
    <w:rsid w:val="00E807EF"/>
    <w:rsid w:val="00E808F6"/>
    <w:rsid w:val="00E80D5E"/>
    <w:rsid w:val="00E80D66"/>
    <w:rsid w:val="00E81523"/>
    <w:rsid w:val="00E824DF"/>
    <w:rsid w:val="00E83283"/>
    <w:rsid w:val="00E936A2"/>
    <w:rsid w:val="00E95E5D"/>
    <w:rsid w:val="00E966AF"/>
    <w:rsid w:val="00EA0F6C"/>
    <w:rsid w:val="00EA3275"/>
    <w:rsid w:val="00EB5B14"/>
    <w:rsid w:val="00EC514E"/>
    <w:rsid w:val="00ED0C4E"/>
    <w:rsid w:val="00EE32F2"/>
    <w:rsid w:val="00EE52C4"/>
    <w:rsid w:val="00EF0504"/>
    <w:rsid w:val="00EF0E62"/>
    <w:rsid w:val="00EF49FF"/>
    <w:rsid w:val="00EF59CE"/>
    <w:rsid w:val="00EF7AC8"/>
    <w:rsid w:val="00F00CDA"/>
    <w:rsid w:val="00F01D65"/>
    <w:rsid w:val="00F031A5"/>
    <w:rsid w:val="00F03E7C"/>
    <w:rsid w:val="00F05F1D"/>
    <w:rsid w:val="00F10FDE"/>
    <w:rsid w:val="00F30382"/>
    <w:rsid w:val="00F3051F"/>
    <w:rsid w:val="00F31DB1"/>
    <w:rsid w:val="00F328D5"/>
    <w:rsid w:val="00F33E18"/>
    <w:rsid w:val="00F471AF"/>
    <w:rsid w:val="00F47AB3"/>
    <w:rsid w:val="00F56471"/>
    <w:rsid w:val="00F65587"/>
    <w:rsid w:val="00F67D20"/>
    <w:rsid w:val="00F740E4"/>
    <w:rsid w:val="00F74932"/>
    <w:rsid w:val="00F77CBA"/>
    <w:rsid w:val="00F83ED1"/>
    <w:rsid w:val="00FA23A0"/>
    <w:rsid w:val="00FA7C03"/>
    <w:rsid w:val="00FB1F8E"/>
    <w:rsid w:val="00FB2956"/>
    <w:rsid w:val="00FB6D27"/>
    <w:rsid w:val="00FC4284"/>
    <w:rsid w:val="00FC5304"/>
    <w:rsid w:val="00FC66E9"/>
    <w:rsid w:val="00FD236F"/>
    <w:rsid w:val="00FD2DD8"/>
    <w:rsid w:val="00FD532A"/>
    <w:rsid w:val="00FE2F2C"/>
    <w:rsid w:val="00FF05D7"/>
    <w:rsid w:val="00FF7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D72191"/>
  <w14:defaultImageDpi w14:val="300"/>
  <w15:docId w15:val="{0FE28D9A-83E7-4A70-BA28-01DF62DCB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7D5"/>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F49"/>
    <w:rPr>
      <w:rFonts w:ascii="Tahoma" w:hAnsi="Tahoma" w:cs="Tahoma"/>
      <w:sz w:val="16"/>
      <w:szCs w:val="16"/>
    </w:rPr>
  </w:style>
  <w:style w:type="character" w:styleId="Hyperlink">
    <w:name w:val="Hyperlink"/>
    <w:basedOn w:val="DefaultParagraphFont"/>
    <w:uiPriority w:val="99"/>
    <w:unhideWhenUsed/>
    <w:rsid w:val="00023330"/>
    <w:rPr>
      <w:color w:val="0000FF" w:themeColor="hyperlink"/>
      <w:u w:val="single"/>
    </w:rPr>
  </w:style>
  <w:style w:type="paragraph" w:styleId="FootnoteText">
    <w:name w:val="footnote text"/>
    <w:basedOn w:val="Normal"/>
    <w:link w:val="FootnoteTextChar"/>
    <w:unhideWhenUsed/>
    <w:rsid w:val="005E14DF"/>
    <w:pPr>
      <w:spacing w:after="0" w:line="240" w:lineRule="auto"/>
    </w:pPr>
    <w:rPr>
      <w:sz w:val="20"/>
      <w:szCs w:val="20"/>
    </w:rPr>
  </w:style>
  <w:style w:type="character" w:customStyle="1" w:styleId="FootnoteTextChar">
    <w:name w:val="Footnote Text Char"/>
    <w:basedOn w:val="DefaultParagraphFont"/>
    <w:link w:val="FootnoteText"/>
    <w:rsid w:val="005E14DF"/>
    <w:rPr>
      <w:rFonts w:ascii="Trebuchet MS" w:hAnsi="Trebuchet MS"/>
    </w:rPr>
  </w:style>
  <w:style w:type="character" w:styleId="FootnoteReference">
    <w:name w:val="footnote reference"/>
    <w:aliases w:val="SUPERS Char2,BVI fnr Char1,BVI fnr Char2,Footnote symbol Char2,numar nota subsol Char1,SUPERS Char Char Char1,BVI fnr Char Char Char,BVI fnr Char Char Char1,Footnote symbol Char Char Char1,SUPERS Char1 Char Char Char,stylish,BVI fnr"/>
    <w:basedOn w:val="DefaultParagraphFont"/>
    <w:unhideWhenUsed/>
    <w:qFormat/>
    <w:rsid w:val="005E14DF"/>
    <w:rPr>
      <w:vertAlign w:val="superscript"/>
    </w:rPr>
  </w:style>
  <w:style w:type="paragraph" w:styleId="ListParagraph">
    <w:name w:val="List Paragraph"/>
    <w:basedOn w:val="Normal"/>
    <w:uiPriority w:val="34"/>
    <w:qFormat/>
    <w:rsid w:val="000E454A"/>
    <w:pPr>
      <w:ind w:left="720"/>
      <w:contextualSpacing/>
    </w:pPr>
  </w:style>
  <w:style w:type="paragraph" w:customStyle="1" w:styleId="Default">
    <w:name w:val="Default"/>
    <w:rsid w:val="00E73E98"/>
    <w:pPr>
      <w:autoSpaceDE w:val="0"/>
      <w:autoSpaceDN w:val="0"/>
      <w:adjustRightInd w:val="0"/>
    </w:pPr>
    <w:rPr>
      <w:rFonts w:ascii="Times New Roman" w:eastAsia="Times New Roman" w:hAnsi="Times New Roman"/>
      <w:color w:val="000000"/>
      <w:sz w:val="24"/>
      <w:szCs w:val="24"/>
    </w:rPr>
  </w:style>
  <w:style w:type="paragraph" w:customStyle="1" w:styleId="Pointabc">
    <w:name w:val="Point abc"/>
    <w:basedOn w:val="Normal"/>
    <w:rsid w:val="002A74B6"/>
    <w:pPr>
      <w:numPr>
        <w:ilvl w:val="1"/>
        <w:numId w:val="10"/>
      </w:numPr>
      <w:spacing w:before="120" w:line="360" w:lineRule="auto"/>
      <w:jc w:val="left"/>
    </w:pPr>
    <w:rPr>
      <w:rFonts w:ascii="Times New Roman" w:eastAsia="Times New Roman" w:hAnsi="Times New Roman"/>
      <w:sz w:val="24"/>
      <w:szCs w:val="24"/>
      <w:lang w:val="ro-RO" w:eastAsia="ro-RO" w:bidi="ro-RO"/>
    </w:rPr>
  </w:style>
  <w:style w:type="paragraph" w:customStyle="1" w:styleId="Pointabc1">
    <w:name w:val="Point abc (1)"/>
    <w:basedOn w:val="Normal"/>
    <w:rsid w:val="002A74B6"/>
    <w:pPr>
      <w:numPr>
        <w:ilvl w:val="3"/>
        <w:numId w:val="10"/>
      </w:numPr>
      <w:spacing w:before="120" w:line="360" w:lineRule="auto"/>
      <w:jc w:val="left"/>
      <w:outlineLvl w:val="0"/>
    </w:pPr>
    <w:rPr>
      <w:rFonts w:ascii="Times New Roman" w:eastAsia="Times New Roman" w:hAnsi="Times New Roman"/>
      <w:sz w:val="24"/>
      <w:szCs w:val="24"/>
      <w:lang w:val="ro-RO" w:eastAsia="ro-RO" w:bidi="ro-RO"/>
    </w:rPr>
  </w:style>
  <w:style w:type="paragraph" w:customStyle="1" w:styleId="Pointabc2">
    <w:name w:val="Point abc (2)"/>
    <w:basedOn w:val="Normal"/>
    <w:rsid w:val="002A74B6"/>
    <w:pPr>
      <w:numPr>
        <w:ilvl w:val="5"/>
        <w:numId w:val="10"/>
      </w:numPr>
      <w:spacing w:before="120" w:line="360" w:lineRule="auto"/>
      <w:jc w:val="left"/>
      <w:outlineLvl w:val="1"/>
    </w:pPr>
    <w:rPr>
      <w:rFonts w:ascii="Times New Roman" w:eastAsia="Times New Roman" w:hAnsi="Times New Roman"/>
      <w:sz w:val="24"/>
      <w:szCs w:val="24"/>
      <w:lang w:val="ro-RO" w:eastAsia="ro-RO" w:bidi="ro-RO"/>
    </w:rPr>
  </w:style>
  <w:style w:type="paragraph" w:customStyle="1" w:styleId="Pointabc3">
    <w:name w:val="Point abc (3)"/>
    <w:basedOn w:val="Normal"/>
    <w:rsid w:val="002A74B6"/>
    <w:pPr>
      <w:numPr>
        <w:ilvl w:val="7"/>
        <w:numId w:val="10"/>
      </w:numPr>
      <w:spacing w:before="120" w:line="360" w:lineRule="auto"/>
      <w:jc w:val="left"/>
      <w:outlineLvl w:val="2"/>
    </w:pPr>
    <w:rPr>
      <w:rFonts w:ascii="Times New Roman" w:eastAsia="Times New Roman" w:hAnsi="Times New Roman"/>
      <w:sz w:val="24"/>
      <w:szCs w:val="24"/>
      <w:lang w:val="ro-RO" w:eastAsia="ro-RO" w:bidi="ro-RO"/>
    </w:rPr>
  </w:style>
  <w:style w:type="paragraph" w:customStyle="1" w:styleId="Pointabc4">
    <w:name w:val="Point abc (4)"/>
    <w:basedOn w:val="Normal"/>
    <w:rsid w:val="002A74B6"/>
    <w:pPr>
      <w:numPr>
        <w:ilvl w:val="8"/>
        <w:numId w:val="10"/>
      </w:numPr>
      <w:spacing w:before="120" w:line="360" w:lineRule="auto"/>
      <w:jc w:val="left"/>
      <w:outlineLvl w:val="3"/>
    </w:pPr>
    <w:rPr>
      <w:rFonts w:ascii="Times New Roman" w:eastAsia="Times New Roman" w:hAnsi="Times New Roman"/>
      <w:sz w:val="24"/>
      <w:szCs w:val="24"/>
      <w:lang w:val="ro-RO" w:eastAsia="ro-RO" w:bidi="ro-RO"/>
    </w:rPr>
  </w:style>
  <w:style w:type="paragraph" w:customStyle="1" w:styleId="Point123">
    <w:name w:val="Point 123"/>
    <w:basedOn w:val="Normal"/>
    <w:rsid w:val="002A74B6"/>
    <w:pPr>
      <w:numPr>
        <w:numId w:val="10"/>
      </w:numPr>
      <w:spacing w:before="120" w:line="360" w:lineRule="auto"/>
      <w:jc w:val="left"/>
    </w:pPr>
    <w:rPr>
      <w:rFonts w:ascii="Times New Roman" w:eastAsia="Times New Roman" w:hAnsi="Times New Roman"/>
      <w:sz w:val="24"/>
      <w:szCs w:val="24"/>
      <w:lang w:val="ro-RO" w:eastAsia="ro-RO" w:bidi="ro-RO"/>
    </w:rPr>
  </w:style>
  <w:style w:type="paragraph" w:customStyle="1" w:styleId="Point1231">
    <w:name w:val="Point 123 (1)"/>
    <w:basedOn w:val="Normal"/>
    <w:rsid w:val="002A74B6"/>
    <w:pPr>
      <w:numPr>
        <w:ilvl w:val="2"/>
        <w:numId w:val="10"/>
      </w:numPr>
      <w:spacing w:before="120" w:line="360" w:lineRule="auto"/>
      <w:jc w:val="left"/>
      <w:outlineLvl w:val="0"/>
    </w:pPr>
    <w:rPr>
      <w:rFonts w:ascii="Times New Roman" w:eastAsia="Times New Roman" w:hAnsi="Times New Roman"/>
      <w:sz w:val="24"/>
      <w:szCs w:val="24"/>
      <w:lang w:val="ro-RO" w:eastAsia="ro-RO" w:bidi="ro-RO"/>
    </w:rPr>
  </w:style>
  <w:style w:type="paragraph" w:customStyle="1" w:styleId="Point1232">
    <w:name w:val="Point 123 (2)"/>
    <w:basedOn w:val="Normal"/>
    <w:rsid w:val="002A74B6"/>
    <w:pPr>
      <w:numPr>
        <w:ilvl w:val="4"/>
        <w:numId w:val="10"/>
      </w:numPr>
      <w:spacing w:before="120" w:line="360" w:lineRule="auto"/>
      <w:jc w:val="left"/>
      <w:outlineLvl w:val="1"/>
    </w:pPr>
    <w:rPr>
      <w:rFonts w:ascii="Times New Roman" w:eastAsia="Times New Roman" w:hAnsi="Times New Roman"/>
      <w:sz w:val="24"/>
      <w:szCs w:val="24"/>
      <w:lang w:val="ro-RO" w:eastAsia="ro-RO" w:bidi="ro-RO"/>
    </w:rPr>
  </w:style>
  <w:style w:type="paragraph" w:customStyle="1" w:styleId="Point1233">
    <w:name w:val="Point 123 (3)"/>
    <w:basedOn w:val="Normal"/>
    <w:rsid w:val="002A74B6"/>
    <w:pPr>
      <w:numPr>
        <w:ilvl w:val="6"/>
        <w:numId w:val="10"/>
      </w:numPr>
      <w:spacing w:before="120" w:line="360" w:lineRule="auto"/>
      <w:jc w:val="left"/>
      <w:outlineLvl w:val="2"/>
    </w:pPr>
    <w:rPr>
      <w:rFonts w:ascii="Times New Roman" w:eastAsia="Times New Roman" w:hAnsi="Times New Roman"/>
      <w:sz w:val="24"/>
      <w:szCs w:val="24"/>
      <w:lang w:val="ro-RO" w:eastAsia="ro-RO" w:bidi="ro-RO"/>
    </w:rPr>
  </w:style>
  <w:style w:type="character" w:styleId="CommentReference">
    <w:name w:val="annotation reference"/>
    <w:basedOn w:val="DefaultParagraphFont"/>
    <w:rsid w:val="00371949"/>
    <w:rPr>
      <w:sz w:val="16"/>
      <w:szCs w:val="16"/>
    </w:rPr>
  </w:style>
  <w:style w:type="paragraph" w:styleId="CommentText">
    <w:name w:val="annotation text"/>
    <w:basedOn w:val="Normal"/>
    <w:link w:val="CommentTextChar"/>
    <w:rsid w:val="00371949"/>
    <w:pPr>
      <w:spacing w:line="240" w:lineRule="auto"/>
      <w:ind w:left="0" w:firstLine="567"/>
    </w:pPr>
    <w:rPr>
      <w:rFonts w:ascii="Arial" w:eastAsia="Simsun (Founder Extended)" w:hAnsi="Arial" w:cs="Arial"/>
      <w:sz w:val="20"/>
      <w:szCs w:val="20"/>
      <w:lang w:val="ro-RO" w:eastAsia="zh-CN"/>
    </w:rPr>
  </w:style>
  <w:style w:type="character" w:customStyle="1" w:styleId="CommentTextChar">
    <w:name w:val="Comment Text Char"/>
    <w:basedOn w:val="DefaultParagraphFont"/>
    <w:link w:val="CommentText"/>
    <w:rsid w:val="00371949"/>
    <w:rPr>
      <w:rFonts w:ascii="Arial" w:eastAsia="Simsun (Founder Extended)" w:hAnsi="Arial" w:cs="Arial"/>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768587">
      <w:bodyDiv w:val="1"/>
      <w:marLeft w:val="0"/>
      <w:marRight w:val="0"/>
      <w:marTop w:val="0"/>
      <w:marBottom w:val="0"/>
      <w:divBdr>
        <w:top w:val="none" w:sz="0" w:space="0" w:color="auto"/>
        <w:left w:val="none" w:sz="0" w:space="0" w:color="auto"/>
        <w:bottom w:val="none" w:sz="0" w:space="0" w:color="auto"/>
        <w:right w:val="none" w:sz="0" w:space="0" w:color="auto"/>
      </w:divBdr>
    </w:div>
    <w:div w:id="1044212735">
      <w:bodyDiv w:val="1"/>
      <w:marLeft w:val="0"/>
      <w:marRight w:val="0"/>
      <w:marTop w:val="0"/>
      <w:marBottom w:val="0"/>
      <w:divBdr>
        <w:top w:val="none" w:sz="0" w:space="0" w:color="auto"/>
        <w:left w:val="none" w:sz="0" w:space="0" w:color="auto"/>
        <w:bottom w:val="none" w:sz="0" w:space="0" w:color="auto"/>
        <w:right w:val="none" w:sz="0" w:space="0" w:color="auto"/>
      </w:divBdr>
    </w:div>
    <w:div w:id="1451431115">
      <w:bodyDiv w:val="1"/>
      <w:marLeft w:val="0"/>
      <w:marRight w:val="0"/>
      <w:marTop w:val="0"/>
      <w:marBottom w:val="0"/>
      <w:divBdr>
        <w:top w:val="none" w:sz="0" w:space="0" w:color="auto"/>
        <w:left w:val="none" w:sz="0" w:space="0" w:color="auto"/>
        <w:bottom w:val="none" w:sz="0" w:space="0" w:color="auto"/>
        <w:right w:val="none" w:sz="0" w:space="0" w:color="auto"/>
      </w:divBdr>
    </w:div>
    <w:div w:id="20709605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gov.uk/eu-withdrawal-act-2018-statutory-instruments/the-law-applicable-to-contractual-obligations-and-non-contractual-obligations-amendment-etc-eu-exit-regulations-2018" TargetMode="External"/><Relationship Id="rId13" Type="http://schemas.openxmlformats.org/officeDocument/2006/relationships/hyperlink" Target="https://www.gov.uk/eu-withdrawal-act-2018-statutory-instruments/the-international-recovery-of-maintenance-hague-convention-on-the-international-recovery-of-child-support-and-other-forms-of-family-maintenance-2007-eu-exit-regulations-2018"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eu-withdrawal-act-2018-statutory-instruments/the-civil-jurisdiction-and-judgments-hague-convention-on-choice-of-court-agreements-2005-eu-exit-regulations-2018"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uk/government/publications/family-law-disputes-involving-eu-after-brexit?utm_source=cf23e632-1a75-4f60-a3b3-02927d66000d&amp;utm_medium=email&amp;utm_campaign=govuk-notifications&amp;utm_content=immediat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eu-withdrawal-act-2018-statutory-instruments/the-service-of-documents-and-taking-of-evidence-in-civil-and-commercial-matters-revocation-and-saving-provisions-eu-exit-regulations-2018" TargetMode="External"/><Relationship Id="rId5" Type="http://schemas.openxmlformats.org/officeDocument/2006/relationships/webSettings" Target="webSettings.xml"/><Relationship Id="rId15" Type="http://schemas.openxmlformats.org/officeDocument/2006/relationships/hyperlink" Target="https://www.gov.uk/government/publications/handling-civil-legal-cases-that-involve-eu-countries-if-theres-no-brexit-deal/handling-civil-legal-cases-that-involve-eu-countries-if-theres-no-brexit-deal" TargetMode="External"/><Relationship Id="rId10" Type="http://schemas.openxmlformats.org/officeDocument/2006/relationships/hyperlink" Target="https://www.gov.uk/eu-withdrawal-act-2018-statutory-instruments/the-european-enforcement-order-european-order-for-payment-and-european-small-claims-procedure-amendment-etc-eu-exit-regulations-2018"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gov.uk/eu-withdrawal-act-2018-statutory-instruments/the-cross-border-mediation-eu-directive-eu-exit-regulations-2018" TargetMode="External"/><Relationship Id="rId14" Type="http://schemas.openxmlformats.org/officeDocument/2006/relationships/hyperlink" Target="https://www.gov.uk/eu-withdrawal-act-2018-statutory-instruments/the-mutual-recognition-of-protection-measures-in-civil-matters-amendment-eu-exit-regulations-2018"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Viorel.Streza\Desktop\template%20min%204%20radu\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no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9DF2F-FFE9-4C97-93AE-1571D29C4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1</TotalTime>
  <Pages>2</Pages>
  <Words>1062</Words>
  <Characters>6054</Characters>
  <Application>Microsoft Office Word</Application>
  <DocSecurity>0</DocSecurity>
  <Lines>50</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7102</CharactersWithSpaces>
  <SharedDoc>false</SharedDoc>
  <HLinks>
    <vt:vector size="12" baseType="variant">
      <vt:variant>
        <vt:i4>458786</vt:i4>
      </vt:variant>
      <vt:variant>
        <vt:i4>5514</vt:i4>
      </vt:variant>
      <vt:variant>
        <vt:i4>1026</vt:i4>
      </vt:variant>
      <vt:variant>
        <vt:i4>1</vt:i4>
      </vt:variant>
      <vt:variant>
        <vt:lpwstr>logo_antet_dep_energie_p2</vt:lpwstr>
      </vt:variant>
      <vt:variant>
        <vt:lpwstr/>
      </vt:variant>
      <vt:variant>
        <vt:i4>7798863</vt:i4>
      </vt:variant>
      <vt:variant>
        <vt:i4>7856</vt:i4>
      </vt:variant>
      <vt:variant>
        <vt:i4>1025</vt:i4>
      </vt:variant>
      <vt:variant>
        <vt:i4>1</vt:i4>
      </vt:variant>
      <vt:variant>
        <vt:lpwstr>logo_antet_dep_energie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Viorel Streza</dc:creator>
  <cp:lastModifiedBy>Ioana Burduf</cp:lastModifiedBy>
  <cp:revision>3</cp:revision>
  <cp:lastPrinted>2018-06-17T12:33:00Z</cp:lastPrinted>
  <dcterms:created xsi:type="dcterms:W3CDTF">2019-02-22T08:21:00Z</dcterms:created>
  <dcterms:modified xsi:type="dcterms:W3CDTF">2019-02-22T08:22:00Z</dcterms:modified>
</cp:coreProperties>
</file>